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8163E" w14:textId="45F3E3D1" w:rsidR="00522948" w:rsidRPr="004A0665" w:rsidRDefault="00522948" w:rsidP="00522948">
      <w:pPr>
        <w:pStyle w:val="Bezodstpw"/>
        <w:jc w:val="right"/>
        <w:rPr>
          <w:rFonts w:ascii="Times New Roman" w:hAnsi="Times New Roman" w:cs="Times New Roman"/>
        </w:rPr>
      </w:pPr>
    </w:p>
    <w:p w14:paraId="5E6A1732" w14:textId="6F537B97" w:rsidR="00522948" w:rsidRDefault="00ED128C" w:rsidP="00522948">
      <w:pPr>
        <w:pStyle w:val="Bezodstpw"/>
        <w:jc w:val="right"/>
        <w:rPr>
          <w:rFonts w:ascii="Times New Roman" w:hAnsi="Times New Roman" w:cs="Times New Roman"/>
        </w:rPr>
      </w:pPr>
      <w:r w:rsidRPr="00ED128C">
        <w:rPr>
          <w:rFonts w:ascii="Times New Roman" w:hAnsi="Times New Roman" w:cs="Times New Roman"/>
        </w:rPr>
        <w:t xml:space="preserve">Załącznik nr </w:t>
      </w:r>
      <w:r>
        <w:rPr>
          <w:rFonts w:ascii="Times New Roman" w:hAnsi="Times New Roman" w:cs="Times New Roman"/>
        </w:rPr>
        <w:t>3</w:t>
      </w:r>
      <w:r w:rsidRPr="00ED128C">
        <w:rPr>
          <w:rFonts w:ascii="Times New Roman" w:hAnsi="Times New Roman" w:cs="Times New Roman"/>
        </w:rPr>
        <w:t xml:space="preserve"> do </w:t>
      </w:r>
      <w:r>
        <w:rPr>
          <w:rFonts w:ascii="Times New Roman" w:hAnsi="Times New Roman" w:cs="Times New Roman"/>
        </w:rPr>
        <w:t>Wyjaśnienia wraz ze z</w:t>
      </w:r>
      <w:r w:rsidRPr="00ED128C">
        <w:rPr>
          <w:rFonts w:ascii="Times New Roman" w:hAnsi="Times New Roman" w:cs="Times New Roman"/>
        </w:rPr>
        <w:t>mian</w:t>
      </w:r>
      <w:r>
        <w:rPr>
          <w:rFonts w:ascii="Times New Roman" w:hAnsi="Times New Roman" w:cs="Times New Roman"/>
        </w:rPr>
        <w:t>ą</w:t>
      </w:r>
      <w:r w:rsidRPr="00ED128C">
        <w:rPr>
          <w:rFonts w:ascii="Times New Roman" w:hAnsi="Times New Roman" w:cs="Times New Roman"/>
        </w:rPr>
        <w:t xml:space="preserve"> treści SWZ</w:t>
      </w:r>
      <w:r w:rsidR="009407A2">
        <w:rPr>
          <w:rFonts w:ascii="Times New Roman" w:hAnsi="Times New Roman" w:cs="Times New Roman"/>
        </w:rPr>
        <w:t xml:space="preserve"> </w:t>
      </w:r>
      <w:r w:rsidRPr="00ED128C">
        <w:rPr>
          <w:rFonts w:ascii="Times New Roman" w:hAnsi="Times New Roman" w:cs="Times New Roman"/>
        </w:rPr>
        <w:t>(</w:t>
      </w:r>
      <w:r>
        <w:rPr>
          <w:rFonts w:ascii="Times New Roman" w:hAnsi="Times New Roman" w:cs="Times New Roman"/>
        </w:rPr>
        <w:t>3</w:t>
      </w:r>
      <w:r w:rsidRPr="00ED128C">
        <w:rPr>
          <w:rFonts w:ascii="Times New Roman" w:hAnsi="Times New Roman" w:cs="Times New Roman"/>
        </w:rPr>
        <w:t xml:space="preserve">) – </w:t>
      </w:r>
      <w:r>
        <w:rPr>
          <w:rFonts w:ascii="Times New Roman" w:hAnsi="Times New Roman" w:cs="Times New Roman"/>
        </w:rPr>
        <w:t xml:space="preserve">Zmieniony </w:t>
      </w:r>
      <w:r w:rsidR="00522948" w:rsidRPr="004A0665">
        <w:rPr>
          <w:rFonts w:ascii="Times New Roman" w:hAnsi="Times New Roman" w:cs="Times New Roman"/>
        </w:rPr>
        <w:t xml:space="preserve">Załącznik nr </w:t>
      </w:r>
      <w:r w:rsidR="007D77F6">
        <w:rPr>
          <w:rFonts w:ascii="Times New Roman" w:hAnsi="Times New Roman" w:cs="Times New Roman"/>
        </w:rPr>
        <w:t>1c do SWZ</w:t>
      </w:r>
    </w:p>
    <w:p w14:paraId="2708CEBA" w14:textId="77777777" w:rsidR="00522948" w:rsidRPr="004A0665" w:rsidRDefault="00522948" w:rsidP="00522948">
      <w:pPr>
        <w:pStyle w:val="Bezodstpw"/>
        <w:jc w:val="right"/>
        <w:rPr>
          <w:rFonts w:ascii="Times New Roman" w:hAnsi="Times New Roman" w:cs="Times New Roman"/>
        </w:rPr>
      </w:pPr>
    </w:p>
    <w:p w14:paraId="17EF8F30" w14:textId="77777777" w:rsidR="00522948" w:rsidRPr="003104E7" w:rsidRDefault="00522948" w:rsidP="00522948">
      <w:pPr>
        <w:tabs>
          <w:tab w:val="left" w:pos="1004"/>
          <w:tab w:val="left" w:pos="1571"/>
        </w:tabs>
        <w:spacing w:after="120"/>
        <w:jc w:val="center"/>
        <w:rPr>
          <w:b/>
          <w:bCs/>
          <w:color w:val="auto"/>
          <w:sz w:val="32"/>
          <w:szCs w:val="32"/>
        </w:rPr>
      </w:pPr>
      <w:r w:rsidRPr="003104E7">
        <w:rPr>
          <w:b/>
          <w:bCs/>
          <w:color w:val="auto"/>
          <w:sz w:val="32"/>
          <w:szCs w:val="32"/>
        </w:rPr>
        <w:t>Opis przedmiotu zamówienia</w:t>
      </w:r>
    </w:p>
    <w:p w14:paraId="5C54E134" w14:textId="77777777" w:rsidR="00522948" w:rsidRPr="003104E7" w:rsidRDefault="00522948" w:rsidP="00522948">
      <w:pPr>
        <w:tabs>
          <w:tab w:val="left" w:pos="1004"/>
          <w:tab w:val="left" w:pos="1571"/>
        </w:tabs>
        <w:spacing w:after="120"/>
        <w:jc w:val="center"/>
        <w:rPr>
          <w:b/>
          <w:bCs/>
          <w:color w:val="auto"/>
          <w:sz w:val="2"/>
          <w:szCs w:val="2"/>
        </w:rPr>
      </w:pPr>
    </w:p>
    <w:p w14:paraId="3A96593E" w14:textId="77777777" w:rsidR="00E40AD6" w:rsidRPr="00E40AD6" w:rsidRDefault="00522948" w:rsidP="00E40AD6">
      <w:pPr>
        <w:suppressAutoHyphens w:val="0"/>
        <w:jc w:val="both"/>
        <w:rPr>
          <w:b/>
          <w:bCs/>
          <w:color w:val="auto"/>
          <w:kern w:val="0"/>
          <w:sz w:val="24"/>
          <w:szCs w:val="24"/>
          <w:lang w:eastAsia="pl-PL"/>
        </w:rPr>
      </w:pPr>
      <w:r w:rsidRPr="003104E7">
        <w:rPr>
          <w:rFonts w:eastAsia="Arial Narrow"/>
          <w:bCs/>
          <w:color w:val="auto"/>
          <w:sz w:val="24"/>
          <w:szCs w:val="24"/>
        </w:rPr>
        <w:t>Przedmiotem zamówienia jest:</w:t>
      </w:r>
      <w:r w:rsidRPr="003104E7">
        <w:rPr>
          <w:b/>
          <w:bCs/>
          <w:color w:val="auto"/>
          <w:kern w:val="0"/>
          <w:sz w:val="24"/>
          <w:szCs w:val="24"/>
          <w:lang w:eastAsia="pl-PL"/>
        </w:rPr>
        <w:t xml:space="preserve"> </w:t>
      </w:r>
      <w:r w:rsidR="00E40AD6" w:rsidRPr="00E40AD6">
        <w:rPr>
          <w:b/>
          <w:bCs/>
          <w:color w:val="auto"/>
          <w:kern w:val="0"/>
          <w:sz w:val="24"/>
          <w:szCs w:val="24"/>
          <w:lang w:eastAsia="pl-PL"/>
        </w:rPr>
        <w:t>Zakup zero- i niskoemisyjnych autobusów wraz z elementami infrastruktury technicznej i wyposażenia do obsługi linii pozamiejskich na terenie Powiatu Włocławskiego z podziałem na 3 części:</w:t>
      </w:r>
    </w:p>
    <w:p w14:paraId="06187742" w14:textId="59801041" w:rsidR="00A93583" w:rsidRDefault="00E40AD6" w:rsidP="00E40AD6">
      <w:pPr>
        <w:suppressAutoHyphens w:val="0"/>
        <w:jc w:val="both"/>
      </w:pPr>
      <w:r w:rsidRPr="00E40AD6">
        <w:rPr>
          <w:b/>
          <w:bCs/>
          <w:color w:val="auto"/>
          <w:kern w:val="0"/>
          <w:sz w:val="24"/>
          <w:szCs w:val="24"/>
          <w:lang w:eastAsia="pl-PL"/>
        </w:rPr>
        <w:t>Część nr 3 pn. Dostawa wraz z montażem stacji ładowania do obsługi linii pozamiejskich na terenie Powiatu Włocławskiego.</w:t>
      </w:r>
    </w:p>
    <w:p w14:paraId="02317F4B" w14:textId="3A41D58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Dostawa, montaż i uruchomienie fabrycznie nowych, (11) jedenastu sztuk jednostanowiskowych, stacjonarnych stacji ładowania autobusów elektrycznych prądem stałym, o maksymalnej mocy wyjściowej minimum 120 kW każda oraz (1) jednej sztuki dwustanowiskowej stacjonarnej stacji ładowania autobusów elektrycznych prądem stałym, o maksymalnej mocy wyjściowej 120/60 kW na terenie siedziby </w:t>
      </w:r>
      <w:r w:rsidR="00E40AD6">
        <w:rPr>
          <w:rFonts w:ascii="Times New Roman" w:hAnsi="Times New Roman" w:cs="Times New Roman"/>
          <w:sz w:val="24"/>
          <w:szCs w:val="24"/>
        </w:rPr>
        <w:t>Użytkownika/</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tj.: Kujawsko-Pomors</w:t>
      </w:r>
      <w:r w:rsidRPr="00F542A8">
        <w:rPr>
          <w:rFonts w:ascii="Times New Roman" w:hAnsi="Times New Roman" w:cs="Times New Roman"/>
          <w:sz w:val="24"/>
          <w:szCs w:val="24"/>
        </w:rPr>
        <w:t xml:space="preserve">kiego Transportu Samochodowego S.A., 87-800 Włocławek, ul. Wieniecka 39, szczegółowo </w:t>
      </w:r>
      <w:r w:rsidRPr="009D61EA">
        <w:rPr>
          <w:rFonts w:ascii="Times New Roman" w:hAnsi="Times New Roman" w:cs="Times New Roman"/>
          <w:sz w:val="24"/>
          <w:szCs w:val="24"/>
        </w:rPr>
        <w:t>w miejscu wskazanym przez Zamawiającego, tworząc tym samym 1</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punktów ładowania (stanowisk) dla autobusów elektrycznych.</w:t>
      </w:r>
    </w:p>
    <w:p w14:paraId="0A2D55CA" w14:textId="008D955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Dostarczone stacje ładowania muszą współpracować z autobusami elektrycznymi wszystkich producentów</w:t>
      </w:r>
      <w:r w:rsidR="00834DC8">
        <w:rPr>
          <w:rFonts w:ascii="Times New Roman" w:hAnsi="Times New Roman" w:cs="Times New Roman"/>
          <w:sz w:val="24"/>
          <w:szCs w:val="24"/>
        </w:rPr>
        <w:t>.</w:t>
      </w:r>
      <w:r w:rsidRPr="009D61EA">
        <w:rPr>
          <w:rFonts w:ascii="Times New Roman" w:hAnsi="Times New Roman" w:cs="Times New Roman"/>
          <w:sz w:val="24"/>
          <w:szCs w:val="24"/>
        </w:rPr>
        <w:t xml:space="preserve"> </w:t>
      </w:r>
      <w:r w:rsidRPr="00834DC8">
        <w:rPr>
          <w:rFonts w:ascii="Times New Roman" w:hAnsi="Times New Roman" w:cs="Times New Roman"/>
          <w:strike/>
          <w:color w:val="FF0000"/>
          <w:sz w:val="24"/>
          <w:szCs w:val="24"/>
        </w:rPr>
        <w:t>którzy deklarują komunikację autobusu z ładowarką w oparciu o protokół komunikacji OCPP1.6-J i OCPP2.0.1</w:t>
      </w:r>
    </w:p>
    <w:p w14:paraId="00DFDCDD" w14:textId="4AEA14C6"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dostarczenia jednego wspólnego </w:t>
      </w:r>
      <w:bookmarkStart w:id="0" w:name="_Hlk169548490"/>
      <w:r w:rsidRPr="009D61EA">
        <w:rPr>
          <w:rFonts w:ascii="Times New Roman" w:hAnsi="Times New Roman" w:cs="Times New Roman"/>
          <w:sz w:val="24"/>
          <w:szCs w:val="24"/>
        </w:rPr>
        <w:t>systemu zarządzająco- telemetrycznego</w:t>
      </w:r>
      <w:bookmarkEnd w:id="0"/>
      <w:r w:rsidRPr="009D61EA">
        <w:rPr>
          <w:rFonts w:ascii="Times New Roman" w:hAnsi="Times New Roman" w:cs="Times New Roman"/>
          <w:sz w:val="24"/>
          <w:szCs w:val="24"/>
        </w:rPr>
        <w:t xml:space="preserve"> służącego w szczególności do zdalnego zarządzania, monitorowania, nadzorowania, zbierania danych online, aktualizacji, diagnozowania i zdalnego serwisowania dla ładowarek stacjonarnych, zwany dalej Systemem.</w:t>
      </w:r>
    </w:p>
    <w:p w14:paraId="5520F3DD" w14:textId="666AAF4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dostarczenia </w:t>
      </w:r>
      <w:bookmarkStart w:id="1" w:name="_Hlk169548411"/>
      <w:r w:rsidRPr="009D61EA">
        <w:rPr>
          <w:rFonts w:ascii="Times New Roman" w:hAnsi="Times New Roman" w:cs="Times New Roman"/>
          <w:sz w:val="24"/>
          <w:szCs w:val="24"/>
        </w:rPr>
        <w:t>dokumentacji powykonawczej i eksploatacyjnej</w:t>
      </w:r>
      <w:bookmarkEnd w:id="1"/>
      <w:r w:rsidRPr="009D61EA">
        <w:rPr>
          <w:rFonts w:ascii="Times New Roman" w:hAnsi="Times New Roman" w:cs="Times New Roman"/>
          <w:sz w:val="24"/>
          <w:szCs w:val="24"/>
        </w:rPr>
        <w:t>, na którą składać się będą dokumentacje fabryczne (dtr), certyfikaty dla urządzeń, które są objęte certyfikowaniem, atesty, deklaracje producentów lub inne dokumenty dopuszczające wyroby do stosowania, protokoły odbiorów częściowych i końcowych, protokoły z przeprowadzonych badań po zamontowaniu urządzeń, instrukcje eksploatacyjne, instrukcje obsługi, zatwierdzone instrukcje eksploatacyjno-ruchowe.</w:t>
      </w:r>
    </w:p>
    <w:p w14:paraId="486117B0" w14:textId="37F0DB3A"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przeprowadzenia instruktaży dla pracowników </w:t>
      </w:r>
      <w:r w:rsidR="002573CB" w:rsidRPr="009D61EA">
        <w:rPr>
          <w:rFonts w:ascii="Times New Roman" w:hAnsi="Times New Roman" w:cs="Times New Roman"/>
          <w:sz w:val="24"/>
          <w:szCs w:val="24"/>
        </w:rPr>
        <w:t>Operator</w:t>
      </w:r>
      <w:r w:rsidRPr="009D61EA">
        <w:rPr>
          <w:rFonts w:ascii="Times New Roman" w:hAnsi="Times New Roman" w:cs="Times New Roman"/>
          <w:sz w:val="24"/>
          <w:szCs w:val="24"/>
        </w:rPr>
        <w:t>a w zakresie niezbędnym do prawidłowego użytkowania przedmiotu dostawy.</w:t>
      </w:r>
    </w:p>
    <w:p w14:paraId="30EDE1B0" w14:textId="3F19A53B"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Końcowy odbiór przedmiotu umowy nastąpi w siedzibie </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po dostarczeniu przez Wykonawcę i przekazaniu przedmiotu umowy pr</w:t>
      </w:r>
      <w:r w:rsidR="001F4D71">
        <w:rPr>
          <w:rFonts w:ascii="Times New Roman" w:hAnsi="Times New Roman" w:cs="Times New Roman"/>
          <w:sz w:val="24"/>
          <w:szCs w:val="24"/>
        </w:rPr>
        <w:t>otokołem odbioru końcowego</w:t>
      </w:r>
      <w:r w:rsidRPr="009D61EA">
        <w:rPr>
          <w:rFonts w:ascii="Times New Roman" w:hAnsi="Times New Roman" w:cs="Times New Roman"/>
          <w:sz w:val="24"/>
          <w:szCs w:val="24"/>
        </w:rPr>
        <w:t xml:space="preserve"> po testach komunikacyjnych autobus – ładowarka.</w:t>
      </w:r>
    </w:p>
    <w:p w14:paraId="1BA9CBF4" w14:textId="078DF013"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w:t>
      </w:r>
    </w:p>
    <w:p w14:paraId="5C01FDCC" w14:textId="1E6FEB34"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Gwarancja i serwis gwarancyjny. Zamawiający wymaga gwarancji na:</w:t>
      </w:r>
    </w:p>
    <w:p w14:paraId="537250C0" w14:textId="68BAB123" w:rsidR="0038547F" w:rsidRPr="009D61EA" w:rsidRDefault="0038547F" w:rsidP="002573CB">
      <w:pPr>
        <w:pStyle w:val="Bezodstpw"/>
        <w:numPr>
          <w:ilvl w:val="1"/>
          <w:numId w:val="1"/>
        </w:numPr>
        <w:ind w:left="1134"/>
        <w:jc w:val="both"/>
        <w:rPr>
          <w:rFonts w:ascii="Times New Roman" w:hAnsi="Times New Roman" w:cs="Times New Roman"/>
          <w:sz w:val="24"/>
          <w:szCs w:val="24"/>
        </w:rPr>
      </w:pPr>
      <w:r w:rsidRPr="009D61EA">
        <w:rPr>
          <w:rFonts w:ascii="Times New Roman" w:hAnsi="Times New Roman" w:cs="Times New Roman"/>
          <w:sz w:val="24"/>
          <w:szCs w:val="24"/>
        </w:rPr>
        <w:t xml:space="preserve">kompletne stacje ładowania (należytej jakości i sprawności) - minimum </w:t>
      </w:r>
      <w:r w:rsidR="002573CB" w:rsidRPr="009D61EA">
        <w:rPr>
          <w:rFonts w:ascii="Times New Roman" w:hAnsi="Times New Roman" w:cs="Times New Roman"/>
          <w:sz w:val="24"/>
          <w:szCs w:val="24"/>
        </w:rPr>
        <w:t>5 lat</w:t>
      </w:r>
      <w:r w:rsidRPr="009D61EA">
        <w:rPr>
          <w:rFonts w:ascii="Times New Roman" w:hAnsi="Times New Roman" w:cs="Times New Roman"/>
          <w:sz w:val="24"/>
          <w:szCs w:val="24"/>
        </w:rPr>
        <w:t>.</w:t>
      </w:r>
    </w:p>
    <w:p w14:paraId="2D8A516C" w14:textId="5FD08540" w:rsidR="0038547F" w:rsidRPr="009D61EA" w:rsidRDefault="0038547F" w:rsidP="002573CB">
      <w:pPr>
        <w:pStyle w:val="Bezodstpw"/>
        <w:ind w:left="709"/>
        <w:jc w:val="both"/>
        <w:rPr>
          <w:rFonts w:ascii="Times New Roman" w:hAnsi="Times New Roman" w:cs="Times New Roman"/>
          <w:sz w:val="24"/>
          <w:szCs w:val="24"/>
        </w:rPr>
      </w:pPr>
      <w:bookmarkStart w:id="2" w:name="_Hlk169546326"/>
      <w:r w:rsidRPr="009D61EA">
        <w:rPr>
          <w:rFonts w:ascii="Times New Roman" w:hAnsi="Times New Roman" w:cs="Times New Roman"/>
          <w:sz w:val="24"/>
          <w:szCs w:val="24"/>
        </w:rPr>
        <w:t>Gwarancja obejmuje wszystkie elementy stacji: zespoły, wtyczki, przewody, gniazda, układy, podzespoły elektroniczne, podłączenie stacji do zasilania oraz pozostałe elementy składowe wraz z system zarządzania, monitorowania i nadzorowania infrastrukturą ładowania;</w:t>
      </w:r>
    </w:p>
    <w:bookmarkEnd w:id="2"/>
    <w:p w14:paraId="759F3412" w14:textId="3F648A27" w:rsidR="0038547F" w:rsidRPr="009D61EA" w:rsidRDefault="0038547F" w:rsidP="002573CB">
      <w:pPr>
        <w:pStyle w:val="Bezodstpw"/>
        <w:ind w:left="720"/>
        <w:jc w:val="both"/>
        <w:rPr>
          <w:rFonts w:ascii="Times New Roman" w:hAnsi="Times New Roman" w:cs="Times New Roman"/>
          <w:sz w:val="24"/>
          <w:szCs w:val="24"/>
        </w:rPr>
      </w:pPr>
      <w:r w:rsidRPr="009D61EA">
        <w:rPr>
          <w:rFonts w:ascii="Times New Roman" w:hAnsi="Times New Roman" w:cs="Times New Roman"/>
          <w:sz w:val="24"/>
          <w:szCs w:val="24"/>
        </w:rPr>
        <w:t xml:space="preserve">Okres gwarancji jest liczony od </w:t>
      </w:r>
      <w:r w:rsidR="002573CB" w:rsidRPr="009D61EA">
        <w:rPr>
          <w:rFonts w:ascii="Times New Roman" w:hAnsi="Times New Roman" w:cs="Times New Roman"/>
          <w:sz w:val="24"/>
          <w:szCs w:val="24"/>
        </w:rPr>
        <w:t>momentu</w:t>
      </w:r>
      <w:r w:rsidRPr="009D61EA">
        <w:rPr>
          <w:rFonts w:ascii="Times New Roman" w:hAnsi="Times New Roman" w:cs="Times New Roman"/>
          <w:sz w:val="24"/>
          <w:szCs w:val="24"/>
        </w:rPr>
        <w:t xml:space="preserve"> dokonania odbioru </w:t>
      </w:r>
      <w:r w:rsidR="001F4D71">
        <w:rPr>
          <w:rFonts w:ascii="Times New Roman" w:hAnsi="Times New Roman" w:cs="Times New Roman"/>
          <w:sz w:val="24"/>
          <w:szCs w:val="24"/>
        </w:rPr>
        <w:t xml:space="preserve">końcowego </w:t>
      </w:r>
      <w:r w:rsidRPr="009D61EA">
        <w:rPr>
          <w:rFonts w:ascii="Times New Roman" w:hAnsi="Times New Roman" w:cs="Times New Roman"/>
          <w:sz w:val="24"/>
          <w:szCs w:val="24"/>
        </w:rPr>
        <w:t>stacji ładowania i podpisania protokołu odbioru</w:t>
      </w:r>
      <w:r w:rsidR="001F4D71">
        <w:rPr>
          <w:rFonts w:ascii="Times New Roman" w:hAnsi="Times New Roman" w:cs="Times New Roman"/>
          <w:sz w:val="24"/>
          <w:szCs w:val="24"/>
        </w:rPr>
        <w:t xml:space="preserve"> końcowego</w:t>
      </w:r>
      <w:r w:rsidRPr="009D61EA">
        <w:rPr>
          <w:rFonts w:ascii="Times New Roman" w:hAnsi="Times New Roman" w:cs="Times New Roman"/>
          <w:sz w:val="24"/>
          <w:szCs w:val="24"/>
        </w:rPr>
        <w:t xml:space="preserve"> bez uwag. W ramach gwarancji Wykonawca zapewni także serwis gwarancyjny. </w:t>
      </w:r>
      <w:bookmarkStart w:id="3" w:name="_Hlk169548218"/>
      <w:r w:rsidRPr="009D61EA">
        <w:rPr>
          <w:rFonts w:ascii="Times New Roman" w:hAnsi="Times New Roman" w:cs="Times New Roman"/>
          <w:sz w:val="24"/>
          <w:szCs w:val="24"/>
        </w:rPr>
        <w:t xml:space="preserve">Wszelkie koszty gwarancji wraz z serwisem </w:t>
      </w:r>
      <w:r w:rsidRPr="009D61EA">
        <w:rPr>
          <w:rFonts w:ascii="Times New Roman" w:hAnsi="Times New Roman" w:cs="Times New Roman"/>
          <w:sz w:val="24"/>
          <w:szCs w:val="24"/>
        </w:rPr>
        <w:lastRenderedPageBreak/>
        <w:t>gwarancyjnym oraz wymianą części zużytych eksploatacyjnie i przeglądy wymagane w okresie gwarancji są w pełni włączone do ceny ofertowej.</w:t>
      </w:r>
    </w:p>
    <w:p w14:paraId="379A3900" w14:textId="77777777" w:rsidR="006E7D66" w:rsidRPr="009D61EA" w:rsidRDefault="0038547F" w:rsidP="002573CB">
      <w:pPr>
        <w:pStyle w:val="Bezodstpw"/>
        <w:numPr>
          <w:ilvl w:val="0"/>
          <w:numId w:val="1"/>
        </w:numPr>
        <w:jc w:val="both"/>
        <w:rPr>
          <w:rFonts w:ascii="Times New Roman" w:hAnsi="Times New Roman" w:cs="Times New Roman"/>
          <w:sz w:val="24"/>
          <w:szCs w:val="24"/>
        </w:rPr>
      </w:pPr>
      <w:bookmarkStart w:id="4" w:name="_Hlk168654796"/>
      <w:bookmarkEnd w:id="3"/>
      <w:r w:rsidRPr="009D61EA">
        <w:rPr>
          <w:rFonts w:ascii="Times New Roman" w:hAnsi="Times New Roman" w:cs="Times New Roman"/>
          <w:sz w:val="24"/>
          <w:szCs w:val="24"/>
        </w:rPr>
        <w:t>Szczegółowy opis infrastruktury ładowania wraz z systemem monitorowania i nadzoru nad pracą ładowarek:</w:t>
      </w:r>
      <w:bookmarkEnd w:id="4"/>
    </w:p>
    <w:p w14:paraId="5F9BDDE9" w14:textId="77777777" w:rsidR="006E7D66" w:rsidRPr="009D61EA" w:rsidRDefault="006E7D66" w:rsidP="006E7D66">
      <w:pPr>
        <w:pStyle w:val="Bezodstpw"/>
        <w:ind w:left="720"/>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704"/>
        <w:gridCol w:w="2410"/>
        <w:gridCol w:w="6232"/>
      </w:tblGrid>
      <w:tr w:rsidR="00564B6A" w:rsidRPr="009D61EA" w14:paraId="17E3500E" w14:textId="77777777" w:rsidTr="004D05B0">
        <w:tc>
          <w:tcPr>
            <w:tcW w:w="704" w:type="dxa"/>
          </w:tcPr>
          <w:p w14:paraId="13B6877D"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 xml:space="preserve">Lp. </w:t>
            </w:r>
          </w:p>
        </w:tc>
        <w:tc>
          <w:tcPr>
            <w:tcW w:w="2410" w:type="dxa"/>
          </w:tcPr>
          <w:p w14:paraId="5C788F2A"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Nazwa</w:t>
            </w:r>
          </w:p>
        </w:tc>
        <w:tc>
          <w:tcPr>
            <w:tcW w:w="6232" w:type="dxa"/>
          </w:tcPr>
          <w:p w14:paraId="18192669"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Wymagania</w:t>
            </w:r>
          </w:p>
        </w:tc>
      </w:tr>
      <w:tr w:rsidR="00564B6A" w:rsidRPr="009D61EA" w14:paraId="5DFDFB7E" w14:textId="77777777" w:rsidTr="004D05B0">
        <w:tc>
          <w:tcPr>
            <w:tcW w:w="704" w:type="dxa"/>
          </w:tcPr>
          <w:p w14:paraId="0682EEA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1.</w:t>
            </w:r>
          </w:p>
        </w:tc>
        <w:tc>
          <w:tcPr>
            <w:tcW w:w="2410" w:type="dxa"/>
          </w:tcPr>
          <w:p w14:paraId="680912D1"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opis i wymagania ogólne</w:t>
            </w:r>
          </w:p>
        </w:tc>
        <w:tc>
          <w:tcPr>
            <w:tcW w:w="6232" w:type="dxa"/>
          </w:tcPr>
          <w:p w14:paraId="3F23B996" w14:textId="42933C4B"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Zakres zamówienia obejmuje wyprodukowanie, dostarczenie, posadowienie ładowarek na przygotowanych przez Użytkownika fundamentach we wskazanych miejscach w bezpośredniej bliskości stanowisk postojowych autobusów oraz montaż, podłączenie i uruchomienie </w:t>
            </w:r>
            <w:r w:rsidR="00C02A2F" w:rsidRPr="009D61EA">
              <w:rPr>
                <w:rFonts w:ascii="Times New Roman" w:hAnsi="Times New Roman" w:cs="Times New Roman"/>
                <w:sz w:val="24"/>
                <w:szCs w:val="24"/>
              </w:rPr>
              <w:t>1</w:t>
            </w:r>
            <w:r w:rsidR="00C6160B" w:rsidRPr="009D61EA">
              <w:rPr>
                <w:rFonts w:ascii="Times New Roman" w:hAnsi="Times New Roman" w:cs="Times New Roman"/>
                <w:sz w:val="24"/>
                <w:szCs w:val="24"/>
              </w:rPr>
              <w:t>1</w:t>
            </w:r>
            <w:r w:rsidRPr="009D61EA">
              <w:rPr>
                <w:rFonts w:ascii="Times New Roman" w:hAnsi="Times New Roman" w:cs="Times New Roman"/>
                <w:sz w:val="24"/>
                <w:szCs w:val="24"/>
              </w:rPr>
              <w:t xml:space="preserve"> stacjonarnych ładowarek o mocy wyjściowej nie mniejszej niż 120 kW</w:t>
            </w:r>
            <w:r w:rsidR="00EC20D8" w:rsidRPr="009D61EA">
              <w:rPr>
                <w:rFonts w:ascii="Times New Roman" w:hAnsi="Times New Roman" w:cs="Times New Roman"/>
                <w:sz w:val="24"/>
                <w:szCs w:val="24"/>
              </w:rPr>
              <w:t xml:space="preserve"> dla stacji jednostanowiskowych oraz</w:t>
            </w:r>
            <w:r w:rsidR="00C6160B" w:rsidRPr="009D61EA">
              <w:rPr>
                <w:rFonts w:ascii="Times New Roman" w:hAnsi="Times New Roman" w:cs="Times New Roman"/>
                <w:sz w:val="24"/>
                <w:szCs w:val="24"/>
              </w:rPr>
              <w:t xml:space="preserve"> 1 stacjonarnej ładowarki o mocy wyjściowej</w:t>
            </w:r>
            <w:r w:rsidR="00EC20D8" w:rsidRPr="009D61EA">
              <w:rPr>
                <w:rFonts w:ascii="Times New Roman" w:hAnsi="Times New Roman" w:cs="Times New Roman"/>
                <w:sz w:val="24"/>
                <w:szCs w:val="24"/>
              </w:rPr>
              <w:t xml:space="preserve"> nie mniejszej niż 120/60 kW dla stacji dwustanowiskowej</w:t>
            </w:r>
            <w:r w:rsidRPr="009D61EA">
              <w:rPr>
                <w:rFonts w:ascii="Times New Roman" w:hAnsi="Times New Roman" w:cs="Times New Roman"/>
                <w:sz w:val="24"/>
                <w:szCs w:val="24"/>
              </w:rPr>
              <w:t xml:space="preserve">. </w:t>
            </w:r>
          </w:p>
          <w:p w14:paraId="58938B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Po stronie Wykonawcy jest montaż urządzeń oraz dokumentacja UDT, dokumentacja ładowarek (opis techniczny) oraz dokumentacja techniczno-ruchowa.</w:t>
            </w:r>
          </w:p>
          <w:p w14:paraId="467E7FB0" w14:textId="287C002F"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Stacjonarne stacje ładowania (</w:t>
            </w:r>
            <w:r w:rsidR="00C02A2F" w:rsidRPr="009D61EA">
              <w:rPr>
                <w:rFonts w:ascii="Times New Roman" w:hAnsi="Times New Roman" w:cs="Times New Roman"/>
                <w:sz w:val="24"/>
                <w:szCs w:val="24"/>
              </w:rPr>
              <w:t>1</w:t>
            </w:r>
            <w:r w:rsidR="0047503F" w:rsidRPr="009D61EA">
              <w:rPr>
                <w:rFonts w:ascii="Times New Roman" w:hAnsi="Times New Roman" w:cs="Times New Roman"/>
                <w:sz w:val="24"/>
                <w:szCs w:val="24"/>
              </w:rPr>
              <w:t>3</w:t>
            </w:r>
            <w:r w:rsidRPr="009D61EA">
              <w:rPr>
                <w:rFonts w:ascii="Times New Roman" w:hAnsi="Times New Roman" w:cs="Times New Roman"/>
                <w:sz w:val="24"/>
                <w:szCs w:val="24"/>
              </w:rPr>
              <w:t xml:space="preserve">szt.) dla autobusów z napędem elektrycznym muszą spełniać poniższe warunki: </w:t>
            </w:r>
          </w:p>
          <w:p w14:paraId="7DF55043" w14:textId="18FF01F9"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w:t>
            </w:r>
            <w:r w:rsidR="006E7D66" w:rsidRPr="009D61EA">
              <w:rPr>
                <w:rFonts w:ascii="Times New Roman" w:hAnsi="Times New Roman" w:cs="Times New Roman"/>
                <w:sz w:val="24"/>
                <w:szCs w:val="24"/>
              </w:rPr>
              <w:t>) konstrukcja powinna uniemożliwiać ingerencję osób przypadkowych w tym uniemożliwić otwarcie obudowy bez specjalistycznych narzędzi oraz być odporna na próby dokonania aktów wandalizmu, a w przypadku ich zaistnienia, ułatwiać usunięcie ich skutków,</w:t>
            </w:r>
          </w:p>
          <w:p w14:paraId="47150590" w14:textId="0CEA952E"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w:t>
            </w:r>
            <w:r w:rsidR="006E7D66" w:rsidRPr="009D61EA">
              <w:rPr>
                <w:rFonts w:ascii="Times New Roman" w:hAnsi="Times New Roman" w:cs="Times New Roman"/>
                <w:sz w:val="24"/>
                <w:szCs w:val="24"/>
              </w:rPr>
              <w:t>) konstrukcja musi zapewniać wysoką odporność na korozję – elementy metalowe muszą być ocynkowane lub galwanizowane dodatkowo malowanie proszkowo lub wykonane ze stali nierdzewnej - kolorystyka malowania stacjonarnych stacji ładowania autobusów z napędem elektrycznym będzie określona w palecie kolorów RAL o kolorze dominującym RAL 6018.</w:t>
            </w:r>
          </w:p>
          <w:p w14:paraId="0C833C75"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ładowarki zgodnie z obowiązującymi przepisami i normami, w szczególności z wymogami wskazanymi w Rozporządzeniu Ministra Energii z dnia 26 czerwca 2019 r. w sprawie wymagań technicznych dla stacji ładowania i punktów ładowania stanowiących element infrastruktury ładowania drogowego transportu publicznego (Dz.U. 2019 poz. 1316 z późn. zm.). Urządzenia muszą spełniać wymagania aktualnie obowiązujących przepisów w zakresie EMC (Electro Magnetic Compatibility).</w:t>
            </w:r>
          </w:p>
          <w:p w14:paraId="21B311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prace montażowe muszą być wykonane zgodnie ze sztuką i przy zachowaniu aktualnie obowiązujących przepisów prawa. Ponadto wymagane jest aby oferowane ładowarki posiadały oznakowanie CE oraz deklarację zgodności lub certyfikat zgodności zgodnie z obowiązującymi w tym zakresie przepisami.</w:t>
            </w:r>
          </w:p>
          <w:p w14:paraId="6DB3096E" w14:textId="495E02E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Wykonawca dostarczy i skonfiguruje : Serwer</w:t>
            </w:r>
            <w:r w:rsidR="00344401" w:rsidRPr="009D61EA">
              <w:rPr>
                <w:rFonts w:ascii="Times New Roman" w:hAnsi="Times New Roman" w:cs="Times New Roman"/>
                <w:sz w:val="24"/>
                <w:szCs w:val="24"/>
              </w:rPr>
              <w:t xml:space="preserve"> lub aplikację WEB</w:t>
            </w:r>
            <w:r w:rsidRPr="009D61EA">
              <w:rPr>
                <w:rFonts w:ascii="Times New Roman" w:hAnsi="Times New Roman" w:cs="Times New Roman"/>
                <w:sz w:val="24"/>
                <w:szCs w:val="24"/>
              </w:rPr>
              <w:t xml:space="preserve"> wraz z licencją dostępu dla użytkowników końcowych wraz z jedną jednostką komputerem - laptop/notebook (1szt. o parametrach: procesor i5, 1,6 ÷ 1,9 GHz, pamięć RAM 16 GB) oraz oprogramowanie licencyjne do tej jednostki (licencja dożywotnia – nieodpłatna)</w:t>
            </w:r>
          </w:p>
          <w:p w14:paraId="087DA811"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Stacje ładowania muszą posiadać możliwość zdalnych aktualizacji, diagnozowania i zdalnego serwisowania.</w:t>
            </w:r>
          </w:p>
          <w:p w14:paraId="57A54541" w14:textId="057BA6C0"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Dźwięki emitowane przez urządzenie (nie wyższe niż 6</w:t>
            </w:r>
            <w:r w:rsidR="00344401" w:rsidRPr="009D61EA">
              <w:rPr>
                <w:rFonts w:ascii="Times New Roman" w:hAnsi="Times New Roman" w:cs="Times New Roman"/>
                <w:sz w:val="24"/>
                <w:szCs w:val="24"/>
              </w:rPr>
              <w:t>5</w:t>
            </w:r>
            <w:r w:rsidRPr="009D61EA">
              <w:rPr>
                <w:rFonts w:ascii="Times New Roman" w:hAnsi="Times New Roman" w:cs="Times New Roman"/>
                <w:sz w:val="24"/>
                <w:szCs w:val="24"/>
              </w:rPr>
              <w:t>dB) nie mogą być uciążliwe dla osób przebywających w pobliżu stacji ładowania autobusów z napędem elektrycznym.</w:t>
            </w:r>
          </w:p>
          <w:p w14:paraId="7A5EA77A"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u w:val="single"/>
              </w:rPr>
              <w:t>Stacje nie mogą ograniczać się do ładowania wyłącznie wybranej grupy/modelu/producenta autobusów elektrycznych</w:t>
            </w:r>
            <w:r w:rsidRPr="009D61EA">
              <w:rPr>
                <w:rFonts w:ascii="Times New Roman" w:hAnsi="Times New Roman" w:cs="Times New Roman"/>
                <w:sz w:val="24"/>
                <w:szCs w:val="24"/>
              </w:rPr>
              <w:t>. Na dzień dostawy stacje ładowania muszą spełniać wszystkie wymagane prawem certyfikaty, standardy, normy w zakresie ładowania autobusów elektrycznych, interfejsów, połączenia i komunikacji stacji ładowania z autobusem oraz bezpieczeństwa. Konsultacje, ustalenia techniczne oraz ryzyka z nimi związane leżą po stronie Wykonawcy.</w:t>
            </w:r>
          </w:p>
          <w:p w14:paraId="1C4BDD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Obsługa stacji ładowania autobusów z napędem elektrycznym musi zapewniać możliwie maksymalną ergonomię oraz łatwość i bezpieczeństwo obsługi urządzenia. Dotyczy to także wszystkich elementów związanych z obsługą stacji.</w:t>
            </w:r>
          </w:p>
          <w:p w14:paraId="257D1373" w14:textId="37306D0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Stacje ładowania autobusów z napędem elektrycznym muszą posiadać wszystkie wymagane prawem świadectwa dopuszczenia do użytkowania. Wykonawca zobowiązany jest do dokonania wszelkich czynności, w tym sporządzenie wszelkiej wymaganej prawem dokumentacji, koniecznych do przeprowadzenia przez UDT badań, o których mowa w art. 16 ust. 2 pkt 1 Ustawy o elektromobilności</w:t>
            </w:r>
            <w:r w:rsidR="000D728B" w:rsidRPr="009D61EA">
              <w:rPr>
                <w:rFonts w:ascii="Times New Roman" w:hAnsi="Times New Roman" w:cs="Times New Roman"/>
                <w:sz w:val="24"/>
                <w:szCs w:val="24"/>
              </w:rPr>
              <w:t xml:space="preserve"> i paliwach alternatywnych</w:t>
            </w:r>
            <w:r w:rsidRPr="009D61EA">
              <w:rPr>
                <w:rFonts w:ascii="Times New Roman" w:hAnsi="Times New Roman" w:cs="Times New Roman"/>
                <w:sz w:val="24"/>
                <w:szCs w:val="24"/>
              </w:rPr>
              <w:t xml:space="preserve"> </w:t>
            </w:r>
            <w:r w:rsidR="00917243" w:rsidRPr="009D61EA">
              <w:rPr>
                <w:rFonts w:ascii="Times New Roman" w:hAnsi="Times New Roman" w:cs="Times New Roman"/>
                <w:sz w:val="24"/>
                <w:szCs w:val="24"/>
              </w:rPr>
              <w:t>(Dz. U. z 2023</w:t>
            </w:r>
            <w:r w:rsidR="00F542A8">
              <w:rPr>
                <w:rFonts w:ascii="Times New Roman" w:hAnsi="Times New Roman" w:cs="Times New Roman"/>
                <w:sz w:val="24"/>
                <w:szCs w:val="24"/>
              </w:rPr>
              <w:t xml:space="preserve"> r.</w:t>
            </w:r>
            <w:r w:rsidR="00917243" w:rsidRPr="009D61EA">
              <w:rPr>
                <w:rFonts w:ascii="Times New Roman" w:hAnsi="Times New Roman" w:cs="Times New Roman"/>
                <w:sz w:val="24"/>
                <w:szCs w:val="24"/>
              </w:rPr>
              <w:t xml:space="preserve"> poz. 1681</w:t>
            </w:r>
            <w:r w:rsidR="00F542A8">
              <w:rPr>
                <w:rFonts w:ascii="Times New Roman" w:hAnsi="Times New Roman" w:cs="Times New Roman"/>
                <w:sz w:val="24"/>
                <w:szCs w:val="24"/>
              </w:rPr>
              <w:t>, z późn. zm.</w:t>
            </w:r>
            <w:r w:rsidR="00917243" w:rsidRPr="009D61EA">
              <w:rPr>
                <w:rFonts w:ascii="Times New Roman" w:hAnsi="Times New Roman" w:cs="Times New Roman"/>
                <w:sz w:val="24"/>
                <w:szCs w:val="24"/>
              </w:rPr>
              <w:t>)</w:t>
            </w:r>
            <w:r w:rsidR="00F542A8">
              <w:rPr>
                <w:rFonts w:ascii="Times New Roman" w:hAnsi="Times New Roman" w:cs="Times New Roman"/>
                <w:sz w:val="24"/>
                <w:szCs w:val="24"/>
              </w:rPr>
              <w:t xml:space="preserve"> </w:t>
            </w:r>
            <w:r w:rsidRPr="009D61EA">
              <w:rPr>
                <w:rFonts w:ascii="Times New Roman" w:hAnsi="Times New Roman" w:cs="Times New Roman"/>
                <w:sz w:val="24"/>
                <w:szCs w:val="24"/>
              </w:rPr>
              <w:t>oraz złożenia w imieniu Zamawiającego wniosku o przeprowadzenie tych badań i reprezentowania Zamawiającego przed UDT aż do każdorazowego uzyskania pozytywnego wyniku badania.</w:t>
            </w:r>
          </w:p>
          <w:p w14:paraId="4A5FF31A" w14:textId="70293F1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dla wszystkich stacji ładowania zajezdniowego Wykonawca zapewni</w:t>
            </w:r>
            <w:r w:rsidR="00640DF5">
              <w:rPr>
                <w:rFonts w:ascii="Times New Roman" w:hAnsi="Times New Roman" w:cs="Times New Roman"/>
                <w:sz w:val="24"/>
                <w:szCs w:val="24"/>
              </w:rPr>
              <w:t>ł</w:t>
            </w:r>
            <w:r w:rsidRPr="009D61EA">
              <w:rPr>
                <w:rFonts w:ascii="Times New Roman" w:hAnsi="Times New Roman" w:cs="Times New Roman"/>
                <w:sz w:val="24"/>
                <w:szCs w:val="24"/>
              </w:rPr>
              <w:t xml:space="preserve"> </w:t>
            </w:r>
            <w:r w:rsidR="00640DF5">
              <w:rPr>
                <w:rFonts w:ascii="Times New Roman" w:hAnsi="Times New Roman" w:cs="Times New Roman"/>
                <w:sz w:val="24"/>
                <w:szCs w:val="24"/>
              </w:rPr>
              <w:t>do 2</w:t>
            </w:r>
            <w:r w:rsidR="0047503F" w:rsidRPr="00E40AD6">
              <w:rPr>
                <w:rFonts w:ascii="Times New Roman" w:hAnsi="Times New Roman" w:cs="Times New Roman"/>
                <w:color w:val="FF0000"/>
                <w:sz w:val="24"/>
                <w:szCs w:val="24"/>
              </w:rPr>
              <w:t xml:space="preserve"> </w:t>
            </w:r>
            <w:r w:rsidR="0047503F" w:rsidRPr="00640DF5">
              <w:rPr>
                <w:rFonts w:ascii="Times New Roman" w:hAnsi="Times New Roman" w:cs="Times New Roman"/>
                <w:sz w:val="24"/>
                <w:szCs w:val="24"/>
              </w:rPr>
              <w:t>dni robocz</w:t>
            </w:r>
            <w:r w:rsidR="00640DF5" w:rsidRPr="00640DF5">
              <w:rPr>
                <w:rFonts w:ascii="Times New Roman" w:hAnsi="Times New Roman" w:cs="Times New Roman"/>
                <w:sz w:val="24"/>
                <w:szCs w:val="24"/>
              </w:rPr>
              <w:t xml:space="preserve">e </w:t>
            </w:r>
            <w:r w:rsidRPr="00640DF5">
              <w:rPr>
                <w:rFonts w:ascii="Times New Roman" w:hAnsi="Times New Roman" w:cs="Times New Roman"/>
                <w:sz w:val="24"/>
                <w:szCs w:val="24"/>
              </w:rPr>
              <w:t xml:space="preserve">czas </w:t>
            </w:r>
            <w:r w:rsidRPr="009D61EA">
              <w:rPr>
                <w:rFonts w:ascii="Times New Roman" w:hAnsi="Times New Roman" w:cs="Times New Roman"/>
                <w:sz w:val="24"/>
                <w:szCs w:val="24"/>
              </w:rPr>
              <w:t xml:space="preserve">reakcji na usuwanie usterek i awarii od chwili zgłoszenia. W przypadku nie wykonania naprawy </w:t>
            </w:r>
            <w:r w:rsidR="00640DF5">
              <w:rPr>
                <w:rFonts w:ascii="Times New Roman" w:hAnsi="Times New Roman" w:cs="Times New Roman"/>
                <w:sz w:val="24"/>
                <w:szCs w:val="24"/>
              </w:rPr>
              <w:t>w terminie 3 dni roboczych  od dnia przyjęcia zgłoszenia</w:t>
            </w:r>
            <w:r w:rsidRPr="009D61EA">
              <w:rPr>
                <w:rFonts w:ascii="Times New Roman" w:hAnsi="Times New Roman" w:cs="Times New Roman"/>
                <w:sz w:val="24"/>
                <w:szCs w:val="24"/>
              </w:rPr>
              <w:t xml:space="preserve"> Wykonawca dostarczy ładowarkę zastępczą o nie gorszych parametrach</w:t>
            </w:r>
            <w:r w:rsidR="00E40AD6">
              <w:rPr>
                <w:rFonts w:ascii="Times New Roman" w:hAnsi="Times New Roman" w:cs="Times New Roman"/>
                <w:sz w:val="24"/>
                <w:szCs w:val="24"/>
              </w:rPr>
              <w:t>.</w:t>
            </w:r>
          </w:p>
        </w:tc>
      </w:tr>
      <w:tr w:rsidR="00564B6A" w:rsidRPr="009D61EA" w14:paraId="51FD389E" w14:textId="77777777" w:rsidTr="004D05B0">
        <w:tc>
          <w:tcPr>
            <w:tcW w:w="704" w:type="dxa"/>
          </w:tcPr>
          <w:p w14:paraId="73A602D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2.</w:t>
            </w:r>
          </w:p>
        </w:tc>
        <w:tc>
          <w:tcPr>
            <w:tcW w:w="2410" w:type="dxa"/>
          </w:tcPr>
          <w:p w14:paraId="42C6D0E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wymagania szczegółowe</w:t>
            </w:r>
          </w:p>
        </w:tc>
        <w:tc>
          <w:tcPr>
            <w:tcW w:w="6232" w:type="dxa"/>
          </w:tcPr>
          <w:p w14:paraId="604A45E7"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wolnostojącego, autonomicznego urządzenia.</w:t>
            </w:r>
          </w:p>
          <w:p w14:paraId="1C688A0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Konstrukcja stacji ładowania oraz wszystkie elementy przewodzące muszą być uziemione.</w:t>
            </w:r>
          </w:p>
          <w:p w14:paraId="718429F2"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Stacja ładowania musi zapewniać stopień ochronny minimum IP54 oraz IK10 według normy PN-EN 61851-23 lub równoważnej oraz IK8 dla wyświetlacza. Dopuszczalne IP23 dla układu chłodzenia (radiatorów).</w:t>
            </w:r>
          </w:p>
          <w:p w14:paraId="764A2F5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Zakres temperatury zewnętrznej: od -25°C do +40°C.</w:t>
            </w:r>
          </w:p>
          <w:p w14:paraId="1706CAFD"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układ chłodzenia powietrzem lub cieczą zapewniający stabilną pracę i dogodne uwarunkowania temperaturowe urządzenia.</w:t>
            </w:r>
          </w:p>
          <w:p w14:paraId="7AA6102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Każda ładowarka wyposażona w licznik energii elektrycznej umożliwiający lokalny i zdalny odczyt zużycia energii dla całej stacji ładowania. Akceptuje się zaoferowanie Systemu zarządzania i monitorowania stacjami ładowania, posiadającego funkcję - zgodnie z protokołem OCPP - zdalnego odczytu wskazań licznika energii na początku procesu ładowania, w trakcie trwania procesu ładowania oraz po zakończeniu procesu ładowania.</w:t>
            </w:r>
          </w:p>
          <w:p w14:paraId="4FC72DA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272FD044"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na wyjściu złącza ładowania powinno pojawić się dopiero po poprawnym podłączeniu i komunikacji autobusu ze stacją ładowania oraz zablokowaniu mechanicznym, uniemożliwiającym rozłączenie w trakcie ładowania.</w:t>
            </w:r>
          </w:p>
          <w:p w14:paraId="70557DB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Po podłączeniu autobusu do stacji ładowania uruchomienie procesu ładowania musi odbywać się samoczynnie bez konieczności ingerencji użytkownika/kierowcy autobusu w stację ładowania.</w:t>
            </w:r>
          </w:p>
          <w:p w14:paraId="1AC3E9F6"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modułową.</w:t>
            </w:r>
          </w:p>
          <w:p w14:paraId="68F3432E"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deklarację zgodności producenta, poświadczającą:</w:t>
            </w:r>
          </w:p>
          <w:p w14:paraId="57651A1F" w14:textId="42BF87F2"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a)kompatybilność elektromagnetyczną (EMC) klasa A zgodną z normą IEC 61000-6-4 lub równoważną (emisja) oraz 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 xml:space="preserve">IEC 61000-6-2 (odporność) lub równoważną </w:t>
            </w:r>
          </w:p>
          <w:p w14:paraId="5CA7EC0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b)zgodność z dyrektywą nisko-napięciową. </w:t>
            </w:r>
          </w:p>
          <w:p w14:paraId="3115CCEA"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Komunikacja pomiędzy stacją ładowania i autobusem musi odbywać się zgodnie ze standardami IEC 61851-1/23 / ISO15118 Ed1 lub równoważną.</w:t>
            </w:r>
          </w:p>
          <w:p w14:paraId="2C62EBB9" w14:textId="05266613"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będzie posiadać podświetlenie klawiszy panelu sterowania umożliwiające korzystanie z niej w godzinach wieczornych, nocnych i porannych</w:t>
            </w:r>
            <w:r w:rsidR="007950C5">
              <w:rPr>
                <w:rFonts w:ascii="Times New Roman" w:hAnsi="Times New Roman" w:cs="Times New Roman"/>
                <w:sz w:val="24"/>
                <w:szCs w:val="24"/>
              </w:rPr>
              <w:t xml:space="preserve"> </w:t>
            </w:r>
            <w:r w:rsidR="007950C5" w:rsidRPr="007950C5">
              <w:rPr>
                <w:rFonts w:ascii="Times New Roman" w:hAnsi="Times New Roman" w:cs="Times New Roman"/>
                <w:color w:val="ED0000"/>
                <w:sz w:val="24"/>
                <w:szCs w:val="24"/>
              </w:rPr>
              <w:t>(</w:t>
            </w:r>
            <w:r w:rsidR="007950C5" w:rsidRPr="007950C5">
              <w:rPr>
                <w:rFonts w:ascii="Times New Roman" w:hAnsi="Times New Roman" w:cs="Times New Roman"/>
                <w:color w:val="ED0000"/>
                <w:sz w:val="24"/>
                <w:szCs w:val="24"/>
              </w:rPr>
              <w:t>dopuszcza</w:t>
            </w:r>
            <w:r w:rsidR="007950C5" w:rsidRPr="007950C5">
              <w:rPr>
                <w:rFonts w:ascii="Times New Roman" w:hAnsi="Times New Roman" w:cs="Times New Roman"/>
                <w:color w:val="ED0000"/>
                <w:sz w:val="24"/>
                <w:szCs w:val="24"/>
              </w:rPr>
              <w:t xml:space="preserve"> się</w:t>
            </w:r>
            <w:r w:rsidR="007950C5" w:rsidRPr="007950C5">
              <w:rPr>
                <w:rFonts w:ascii="Times New Roman" w:hAnsi="Times New Roman" w:cs="Times New Roman"/>
                <w:color w:val="ED0000"/>
                <w:sz w:val="24"/>
                <w:szCs w:val="24"/>
              </w:rPr>
              <w:t xml:space="preserve"> wyposażenie ładowarek w dotykowy wyświetlacz LCD, pozwalający na korzystanie ze stacji w każdych warunkach oświetleniowych</w:t>
            </w:r>
            <w:r w:rsidR="007950C5" w:rsidRPr="007950C5">
              <w:rPr>
                <w:rFonts w:ascii="Times New Roman" w:hAnsi="Times New Roman" w:cs="Times New Roman"/>
                <w:color w:val="ED0000"/>
                <w:sz w:val="24"/>
                <w:szCs w:val="24"/>
              </w:rPr>
              <w:t>)</w:t>
            </w:r>
            <w:r w:rsidRPr="007950C5">
              <w:rPr>
                <w:rFonts w:ascii="Times New Roman" w:hAnsi="Times New Roman" w:cs="Times New Roman"/>
                <w:color w:val="ED0000"/>
                <w:sz w:val="24"/>
                <w:szCs w:val="24"/>
              </w:rPr>
              <w:t>.</w:t>
            </w:r>
          </w:p>
          <w:p w14:paraId="69F9F35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wizualną sygnalizację informującą o stanie ładowania (co najmniej o trwającym procesie ładowania, ewentualnych awariach, gotowości do podjęcia ładowania):</w:t>
            </w:r>
          </w:p>
          <w:p w14:paraId="34F865D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niebieski– ładowanie w toku,</w:t>
            </w:r>
          </w:p>
          <w:p w14:paraId="38677C7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b) zielona – gotowość stanowiska do podjęcia ładowania,</w:t>
            </w:r>
          </w:p>
          <w:p w14:paraId="751DA9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czerwona – awaria stanowiska ładowania).</w:t>
            </w:r>
          </w:p>
          <w:p w14:paraId="0DF40BC5" w14:textId="285E2FDB"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wbudowany moduł łączności GSM</w:t>
            </w:r>
            <w:r w:rsidR="00575778" w:rsidRPr="009D61EA">
              <w:rPr>
                <w:rFonts w:ascii="Times New Roman" w:hAnsi="Times New Roman" w:cs="Times New Roman"/>
                <w:sz w:val="24"/>
                <w:szCs w:val="24"/>
              </w:rPr>
              <w:t>, ETHERNET, WIFI 2,4/5GHz.</w:t>
            </w:r>
            <w:r w:rsidR="00922B06" w:rsidRPr="009D61EA">
              <w:rPr>
                <w:rFonts w:ascii="Times New Roman" w:hAnsi="Times New Roman" w:cs="Times New Roman"/>
                <w:sz w:val="24"/>
                <w:szCs w:val="24"/>
              </w:rPr>
              <w:t xml:space="preserve"> Moduł GSM, powinien mieć możliwość zdefiniowania prywatnego APN-u.</w:t>
            </w:r>
          </w:p>
          <w:p w14:paraId="66744B8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kontrolę rezystancji izolacji (IMD).</w:t>
            </w:r>
          </w:p>
          <w:p w14:paraId="16822E0C" w14:textId="7D9AC055"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interfejs ładowania zgodny z</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IEC 62196-3 lub równoważną.</w:t>
            </w:r>
          </w:p>
          <w:p w14:paraId="1B2D3816" w14:textId="62E689E4"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jeden przewód o długości min. </w:t>
            </w:r>
            <w:r w:rsidR="00E6320C" w:rsidRPr="009D61EA">
              <w:rPr>
                <w:rFonts w:ascii="Times New Roman" w:hAnsi="Times New Roman" w:cs="Times New Roman"/>
                <w:sz w:val="24"/>
                <w:szCs w:val="24"/>
              </w:rPr>
              <w:t>5</w:t>
            </w:r>
            <w:r w:rsidRPr="009D61EA">
              <w:rPr>
                <w:rFonts w:ascii="Times New Roman" w:hAnsi="Times New Roman" w:cs="Times New Roman"/>
                <w:sz w:val="24"/>
                <w:szCs w:val="24"/>
              </w:rPr>
              <w:t xml:space="preserve"> m zakończony wtyczką do interfejsu z pkt 17.</w:t>
            </w:r>
          </w:p>
          <w:p w14:paraId="30CD608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rozwiązanie zarządzające okablowaniem, które podczas odkładania przewodu zwalnia użytkownika z czynności owijania przewodu wokół wieszaka, umożliwiając w łatwy sposób włożenia wtyczki do gniazda odkładczego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w:t>
            </w:r>
          </w:p>
        </w:tc>
      </w:tr>
      <w:tr w:rsidR="00564B6A" w:rsidRPr="009D61EA" w14:paraId="258392F0" w14:textId="77777777" w:rsidTr="004D05B0">
        <w:tc>
          <w:tcPr>
            <w:tcW w:w="704" w:type="dxa"/>
          </w:tcPr>
          <w:p w14:paraId="7A71DEDC"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3.</w:t>
            </w:r>
          </w:p>
        </w:tc>
        <w:tc>
          <w:tcPr>
            <w:tcW w:w="2410" w:type="dxa"/>
          </w:tcPr>
          <w:p w14:paraId="7D7F997A"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parametry elektryczne i wymagania w tym zakresie</w:t>
            </w:r>
          </w:p>
        </w:tc>
        <w:tc>
          <w:tcPr>
            <w:tcW w:w="6232" w:type="dxa"/>
          </w:tcPr>
          <w:p w14:paraId="232FCB64"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Sprawność energetyczna na poziomie minimum 94%.</w:t>
            </w:r>
          </w:p>
          <w:p w14:paraId="7B9A8EB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wyjściowe stacji ładowania: 150-1000V DC.</w:t>
            </w:r>
          </w:p>
          <w:p w14:paraId="73622F6A"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Zapewniona izolacja galwaniczna na poziomie min. 2,5kV.</w:t>
            </w:r>
          </w:p>
          <w:p w14:paraId="18C1D80B"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większy bądź równy 0,98.</w:t>
            </w:r>
          </w:p>
          <w:p w14:paraId="5F89CC1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zawartości harmonicznych THDi ≤ 5%.</w:t>
            </w:r>
          </w:p>
          <w:p w14:paraId="4466E9F1" w14:textId="4C25CEEC"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Długość złącza DC: minimum</w:t>
            </w:r>
            <w:r w:rsidR="00152CEA">
              <w:rPr>
                <w:rFonts w:ascii="Times New Roman" w:hAnsi="Times New Roman" w:cs="Times New Roman"/>
                <w:sz w:val="24"/>
                <w:szCs w:val="24"/>
              </w:rPr>
              <w:t xml:space="preserve"> </w:t>
            </w:r>
            <w:r w:rsidRPr="00152CEA">
              <w:rPr>
                <w:rFonts w:ascii="Times New Roman" w:hAnsi="Times New Roman" w:cs="Times New Roman"/>
                <w:strike/>
                <w:color w:val="FF0000"/>
                <w:sz w:val="24"/>
                <w:szCs w:val="24"/>
              </w:rPr>
              <w:t>7</w:t>
            </w:r>
            <w:r w:rsidRPr="009D61EA">
              <w:rPr>
                <w:rFonts w:ascii="Times New Roman" w:hAnsi="Times New Roman" w:cs="Times New Roman"/>
                <w:sz w:val="24"/>
                <w:szCs w:val="24"/>
              </w:rPr>
              <w:t xml:space="preserve"> </w:t>
            </w:r>
            <w:r w:rsidR="00152CEA" w:rsidRPr="00152CEA">
              <w:rPr>
                <w:rFonts w:ascii="Times New Roman" w:hAnsi="Times New Roman" w:cs="Times New Roman"/>
                <w:color w:val="FF0000"/>
                <w:sz w:val="24"/>
                <w:szCs w:val="24"/>
              </w:rPr>
              <w:t xml:space="preserve">5 </w:t>
            </w:r>
            <w:r w:rsidRPr="00152CEA">
              <w:rPr>
                <w:rFonts w:ascii="Times New Roman" w:hAnsi="Times New Roman" w:cs="Times New Roman"/>
                <w:color w:val="FF0000"/>
                <w:sz w:val="24"/>
                <w:szCs w:val="24"/>
              </w:rPr>
              <w:t>m</w:t>
            </w:r>
            <w:r w:rsidRPr="009D61EA">
              <w:rPr>
                <w:rFonts w:ascii="Times New Roman" w:hAnsi="Times New Roman" w:cs="Times New Roman"/>
                <w:sz w:val="24"/>
                <w:szCs w:val="24"/>
              </w:rPr>
              <w:t>.</w:t>
            </w:r>
          </w:p>
          <w:p w14:paraId="3B2991C0" w14:textId="7B7CE8E0"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Moc wyjściowa stacji ładowania nie mniejsza niż 120kW</w:t>
            </w:r>
            <w:r w:rsidR="00E6320C" w:rsidRPr="009D61EA">
              <w:rPr>
                <w:rFonts w:ascii="Times New Roman" w:hAnsi="Times New Roman" w:cs="Times New Roman"/>
                <w:sz w:val="24"/>
                <w:szCs w:val="24"/>
              </w:rPr>
              <w:t xml:space="preserve"> dla stacji jednostanowiskowych </w:t>
            </w:r>
            <w:r w:rsidR="00280B03" w:rsidRPr="009D61EA">
              <w:rPr>
                <w:rFonts w:ascii="Times New Roman" w:hAnsi="Times New Roman" w:cs="Times New Roman"/>
                <w:sz w:val="24"/>
                <w:szCs w:val="24"/>
              </w:rPr>
              <w:t>oraz</w:t>
            </w:r>
            <w:r w:rsidR="00E6320C" w:rsidRPr="009D61EA">
              <w:rPr>
                <w:rFonts w:ascii="Times New Roman" w:hAnsi="Times New Roman" w:cs="Times New Roman"/>
                <w:sz w:val="24"/>
                <w:szCs w:val="24"/>
              </w:rPr>
              <w:t xml:space="preserve"> nie mniejsza niż 120/60 kWh dla stacji dwustanowiskowej</w:t>
            </w:r>
            <w:r w:rsidR="00280B03" w:rsidRPr="009D61EA">
              <w:rPr>
                <w:rFonts w:ascii="Times New Roman" w:hAnsi="Times New Roman" w:cs="Times New Roman"/>
                <w:sz w:val="24"/>
                <w:szCs w:val="24"/>
              </w:rPr>
              <w:t>.</w:t>
            </w:r>
          </w:p>
          <w:p w14:paraId="44C94C5D"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zasilania dla stacji ładowania: 3x400V AC, 50Hz.</w:t>
            </w:r>
          </w:p>
          <w:p w14:paraId="79836EE9"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Maksymalny prąd ładowania 250A.</w:t>
            </w:r>
          </w:p>
          <w:p w14:paraId="4242ECC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Układ sieci TN-S / zgodnie z normą PN EN 50160 lub równoważny.</w:t>
            </w:r>
          </w:p>
          <w:p w14:paraId="1C81C21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musi być większy bądź równy 0,98 oraz THDi (Total Harmonic Distortion – Current) mniejsze bądź równe 5% dla mocy znamionowej ładowarki.</w:t>
            </w:r>
          </w:p>
          <w:p w14:paraId="38FFD09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Urządzenie musi umożliwiać ładowanie prądem stałym w trybach: CC (Constant Current), CV (Constant Voltage).</w:t>
            </w:r>
          </w:p>
          <w:p w14:paraId="48F2CBD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Wymagane jest zabezpieczenie instalacji elektrycznej wraz ze stacją ładowania autobusów z napędem elektrycznym bezpiecznikiem dostosowanym do przewidywanego </w:t>
            </w:r>
            <w:r w:rsidRPr="009D61EA">
              <w:rPr>
                <w:rFonts w:ascii="Times New Roman" w:hAnsi="Times New Roman" w:cs="Times New Roman"/>
                <w:sz w:val="24"/>
                <w:szCs w:val="24"/>
              </w:rPr>
              <w:lastRenderedPageBreak/>
              <w:t>obciążenia. Instalacja elektryczna musi być zabezpieczona przed czynnikami środowiskowymi. Ponadto ładowarka 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prąd wyjściowego) z wyłączeniem czasu na prace serwisowe.</w:t>
            </w:r>
          </w:p>
        </w:tc>
      </w:tr>
      <w:tr w:rsidR="00564B6A" w:rsidRPr="009D61EA" w14:paraId="56ACE1E8" w14:textId="77777777" w:rsidTr="004D05B0">
        <w:tc>
          <w:tcPr>
            <w:tcW w:w="704" w:type="dxa"/>
          </w:tcPr>
          <w:p w14:paraId="43A8B6C3"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4.</w:t>
            </w:r>
          </w:p>
        </w:tc>
        <w:tc>
          <w:tcPr>
            <w:tcW w:w="2410" w:type="dxa"/>
          </w:tcPr>
          <w:p w14:paraId="3A782BC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monitorowania i zarządzania pracą stacji ładowania autobusów elektrycznych</w:t>
            </w:r>
          </w:p>
        </w:tc>
        <w:tc>
          <w:tcPr>
            <w:tcW w:w="6232" w:type="dxa"/>
          </w:tcPr>
          <w:p w14:paraId="2F357D4A" w14:textId="4ABC1412" w:rsidR="006E7D66" w:rsidRPr="009D61EA" w:rsidRDefault="009269B1"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system do monitorowania / nadzoru / zarządzania pracą wszystkich stacji ładowania objętych zamówieniem w postaci usługi chmurowej oraz zobowiązuje się do jego bezpłatnego utrzymywania w okresie  gwarancji</w:t>
            </w:r>
            <w:r w:rsidR="004C6E00" w:rsidRPr="009D61EA">
              <w:rPr>
                <w:rFonts w:ascii="Times New Roman" w:hAnsi="Times New Roman" w:cs="Times New Roman"/>
                <w:sz w:val="24"/>
                <w:szCs w:val="24"/>
              </w:rPr>
              <w:t>.</w:t>
            </w:r>
            <w:r w:rsidR="008D5968" w:rsidRPr="009D61EA">
              <w:rPr>
                <w:rFonts w:ascii="Times New Roman" w:hAnsi="Times New Roman" w:cs="Times New Roman"/>
                <w:sz w:val="24"/>
                <w:szCs w:val="24"/>
              </w:rPr>
              <w:t xml:space="preserve"> </w:t>
            </w:r>
            <w:r w:rsidR="008D5968" w:rsidRPr="00A92FC0">
              <w:rPr>
                <w:rFonts w:ascii="Times New Roman" w:hAnsi="Times New Roman" w:cs="Times New Roman"/>
                <w:strike/>
                <w:color w:val="ED0000"/>
                <w:sz w:val="24"/>
                <w:szCs w:val="24"/>
              </w:rPr>
              <w:t xml:space="preserve">Opcjonalnie Wykonawca umożliwi </w:t>
            </w:r>
            <w:r w:rsidR="003B6F7D" w:rsidRPr="00A92FC0">
              <w:rPr>
                <w:rFonts w:ascii="Times New Roman" w:hAnsi="Times New Roman" w:cs="Times New Roman"/>
                <w:strike/>
                <w:color w:val="ED0000"/>
                <w:sz w:val="24"/>
                <w:szCs w:val="24"/>
              </w:rPr>
              <w:t xml:space="preserve">migrację </w:t>
            </w:r>
            <w:r w:rsidR="008D5968" w:rsidRPr="00A92FC0">
              <w:rPr>
                <w:rFonts w:ascii="Times New Roman" w:hAnsi="Times New Roman" w:cs="Times New Roman"/>
                <w:strike/>
                <w:color w:val="ED0000"/>
                <w:sz w:val="24"/>
                <w:szCs w:val="24"/>
              </w:rPr>
              <w:t>oprogramowania na serwer Użytkownika.</w:t>
            </w:r>
            <w:r w:rsidR="00A92FC0" w:rsidRPr="00A92FC0">
              <w:rPr>
                <w:i/>
                <w:iCs/>
                <w:strike/>
                <w:color w:val="ED0000"/>
              </w:rPr>
              <w:t xml:space="preserve"> </w:t>
            </w:r>
            <w:r w:rsidR="00A92FC0" w:rsidRPr="00A92FC0">
              <w:rPr>
                <w:rFonts w:ascii="Times New Roman" w:hAnsi="Times New Roman" w:cs="Times New Roman"/>
                <w:color w:val="FF0000"/>
                <w:sz w:val="24"/>
                <w:szCs w:val="24"/>
              </w:rPr>
              <w:t>Wykonawca na wniosek Zamawiającego zapewni migrację oprogramowania na serwer Użytkownika</w:t>
            </w:r>
            <w:r w:rsidR="00A92FC0" w:rsidRPr="00A92FC0">
              <w:rPr>
                <w:rFonts w:ascii="Times New Roman" w:hAnsi="Times New Roman" w:cs="Times New Roman"/>
                <w:color w:val="FF0000"/>
                <w:sz w:val="24"/>
                <w:szCs w:val="24"/>
              </w:rPr>
              <w:t>.</w:t>
            </w:r>
          </w:p>
          <w:p w14:paraId="7FE32051" w14:textId="3BA149C8"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systemie do nadzoru/zarządzania pracą wszystkich stacji ładowania możliwość wprowadzania i powiązania pojazdu z jego numerem rejestracyjnym.</w:t>
            </w:r>
          </w:p>
          <w:p w14:paraId="31F9A272" w14:textId="7665E000"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bezpłatnie interfejs API pozwalający na komunikację systemu monitorowania i zarządzania z aplikacji biznesowej Użytkownika. Minimalny zakres przekazywanych danych: numer rejestracyjny pojazdu, data i godzina rozpoczęcia ładowania, data i godzina zakończenia tankowania, ilość pobranej energii.</w:t>
            </w:r>
          </w:p>
          <w:p w14:paraId="63DF87D5" w14:textId="7C11AAEB" w:rsidR="008D5968" w:rsidRPr="009D61EA" w:rsidRDefault="008D5968"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do każdej ładowarki kartę SIM DATA oraz zobowiązuje się do pokrycia kosztów abonamentu w okresie gwarancji.</w:t>
            </w:r>
          </w:p>
          <w:p w14:paraId="32145899" w14:textId="1DCAFC41"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stacje ładowania pojazdów objęte przedmiotowym zamówieniem oraz system dostarczany przez Wykonawcę będzie zgodny z protokołem OCPP 1.6 (JSON)</w:t>
            </w:r>
            <w:r w:rsidR="00B4139C" w:rsidRPr="009D61EA">
              <w:rPr>
                <w:rFonts w:ascii="Times New Roman" w:hAnsi="Times New Roman" w:cs="Times New Roman"/>
                <w:sz w:val="24"/>
                <w:szCs w:val="24"/>
              </w:rPr>
              <w:t>, OCPP2.0.1</w:t>
            </w:r>
            <w:r w:rsidRPr="009D61EA">
              <w:rPr>
                <w:rFonts w:ascii="Times New Roman" w:hAnsi="Times New Roman" w:cs="Times New Roman"/>
                <w:sz w:val="24"/>
                <w:szCs w:val="24"/>
              </w:rPr>
              <w:t xml:space="preserve"> lub równoważnym - umożliwi to w przyszłości podłączanie Użytkowni</w:t>
            </w:r>
            <w:r w:rsidR="001F7ED8" w:rsidRPr="009D61EA">
              <w:rPr>
                <w:rFonts w:ascii="Times New Roman" w:hAnsi="Times New Roman" w:cs="Times New Roman"/>
                <w:sz w:val="24"/>
                <w:szCs w:val="24"/>
              </w:rPr>
              <w:t>ka</w:t>
            </w:r>
            <w:r w:rsidRPr="009D61EA">
              <w:rPr>
                <w:rFonts w:ascii="Times New Roman" w:hAnsi="Times New Roman" w:cs="Times New Roman"/>
                <w:sz w:val="24"/>
                <w:szCs w:val="24"/>
              </w:rPr>
              <w:t xml:space="preserve"> innych stacji do systemu. </w:t>
            </w:r>
          </w:p>
          <w:p w14:paraId="5197C1D1" w14:textId="693A800B"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Zgodnie z </w:t>
            </w:r>
            <w:r w:rsidR="00B4139C" w:rsidRPr="009D61EA">
              <w:rPr>
                <w:rFonts w:ascii="Times New Roman" w:hAnsi="Times New Roman" w:cs="Times New Roman"/>
                <w:sz w:val="24"/>
                <w:szCs w:val="24"/>
              </w:rPr>
              <w:t>protokołem z pkt 2</w:t>
            </w:r>
            <w:r w:rsidRPr="009D61EA">
              <w:rPr>
                <w:rFonts w:ascii="Times New Roman" w:hAnsi="Times New Roman" w:cs="Times New Roman"/>
                <w:sz w:val="24"/>
                <w:szCs w:val="24"/>
              </w:rPr>
              <w:t xml:space="preserve"> system będzie rejestrował informacje w relacyjnej bazie danych, która stanowić będzie element systemu.</w:t>
            </w:r>
          </w:p>
          <w:p w14:paraId="45F35FC5" w14:textId="2C6D4DE8"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będzie posiadać konsolę graficzną dla Użytkownika, która będzie zrealizowana w technologii web-owej. Na stacjach roboczych operatorów systemu, nie będzie wymagana instalacja żadnych dodatkowych komponentów – konsola będzie w całości uruchamiana w przeglądarce web- owej. Zamawiający nie dopuszcza rozwiązania, zarówno serwera systemu, jak i jego konsoli zrealizowanych w sposób, który ogranicza ich uruchamianie do wybranego środowiska systemowego. </w:t>
            </w:r>
          </w:p>
          <w:p w14:paraId="24ADD12D" w14:textId="41B8B2CC"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Zamawiający wymaga od Wykonawcy dostarczenia systemu wraz z licencjami, który będzie w stanie monitorować minimum </w:t>
            </w:r>
            <w:r w:rsidR="009C5CC7" w:rsidRPr="009D61EA">
              <w:rPr>
                <w:rFonts w:ascii="Times New Roman" w:hAnsi="Times New Roman" w:cs="Times New Roman"/>
                <w:sz w:val="24"/>
                <w:szCs w:val="24"/>
              </w:rPr>
              <w:t>12</w:t>
            </w:r>
            <w:r w:rsidRPr="009D61EA">
              <w:rPr>
                <w:rFonts w:ascii="Times New Roman" w:hAnsi="Times New Roman" w:cs="Times New Roman"/>
                <w:sz w:val="24"/>
                <w:szCs w:val="24"/>
              </w:rPr>
              <w:t xml:space="preserve"> punktów ładowania, System musi dawać możliwość rozbudowy liczby monitorowanych urządzeń. </w:t>
            </w:r>
          </w:p>
          <w:p w14:paraId="3B3E5F3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ma umożliwiać w przyszłości podłączanie przez Użytkownika do systemu innych stacji (dowolnego producenta).</w:t>
            </w:r>
          </w:p>
          <w:p w14:paraId="62D6F5A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Konsola systemu umożliwiać będzie: </w:t>
            </w:r>
          </w:p>
          <w:p w14:paraId="6B9BD8F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podgląd stanu wszystkich stacji ładowania monitorowanych przez system z podziałem:</w:t>
            </w:r>
          </w:p>
          <w:p w14:paraId="54E07E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włączone i gotowe do ładowania,</w:t>
            </w:r>
          </w:p>
          <w:p w14:paraId="436AD2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ładujące w danym momencie,</w:t>
            </w:r>
          </w:p>
          <w:p w14:paraId="7428E0B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niedostępne (wyłączone) – urządzenia, które</w:t>
            </w:r>
          </w:p>
          <w:p w14:paraId="5F42E58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wyślą status o niedostępności, lub nie przesyłają żadnych informacji do serwera Systemu przez określony w konfiguracji czas,</w:t>
            </w:r>
          </w:p>
          <w:p w14:paraId="246BC29C" w14:textId="6BDB7DAB" w:rsidR="006E7D66"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które są w stanie błędu – prześlą status o wystąpieniu błędu i pozostają w tym stanie do czasu przesłania statusu informującego o usunięciu błędu</w:t>
            </w:r>
            <w:r w:rsidR="00BE3F77">
              <w:rPr>
                <w:rFonts w:ascii="Times New Roman" w:hAnsi="Times New Roman" w:cs="Times New Roman"/>
                <w:sz w:val="24"/>
                <w:szCs w:val="24"/>
              </w:rPr>
              <w:t>;</w:t>
            </w:r>
          </w:p>
          <w:p w14:paraId="681CB0E8" w14:textId="725FEE96" w:rsidR="00BE3F77" w:rsidRPr="00BE3F77" w:rsidRDefault="00BE3F77" w:rsidP="005F5726">
            <w:pPr>
              <w:pStyle w:val="Bezodstpw"/>
              <w:ind w:left="320"/>
              <w:jc w:val="both"/>
              <w:rPr>
                <w:rFonts w:ascii="Times New Roman" w:hAnsi="Times New Roman" w:cs="Times New Roman"/>
                <w:color w:val="ED0000"/>
                <w:sz w:val="24"/>
                <w:szCs w:val="24"/>
              </w:rPr>
            </w:pPr>
            <w:r>
              <w:rPr>
                <w:rFonts w:ascii="Times New Roman" w:hAnsi="Times New Roman" w:cs="Times New Roman"/>
                <w:color w:val="ED0000"/>
                <w:sz w:val="24"/>
                <w:szCs w:val="24"/>
              </w:rPr>
              <w:t>(</w:t>
            </w:r>
            <w:r w:rsidRPr="00BE3F77">
              <w:rPr>
                <w:rFonts w:ascii="Times New Roman" w:hAnsi="Times New Roman" w:cs="Times New Roman"/>
                <w:color w:val="ED0000"/>
                <w:sz w:val="24"/>
                <w:szCs w:val="24"/>
              </w:rPr>
              <w:t>dopuszcza</w:t>
            </w:r>
            <w:r w:rsidRPr="00BE3F77">
              <w:rPr>
                <w:rFonts w:ascii="Times New Roman" w:hAnsi="Times New Roman" w:cs="Times New Roman"/>
                <w:color w:val="ED0000"/>
                <w:sz w:val="24"/>
                <w:szCs w:val="24"/>
              </w:rPr>
              <w:t xml:space="preserve"> się</w:t>
            </w:r>
            <w:r w:rsidRPr="00BE3F77">
              <w:rPr>
                <w:rFonts w:ascii="Times New Roman" w:hAnsi="Times New Roman" w:cs="Times New Roman"/>
                <w:color w:val="ED0000"/>
                <w:sz w:val="24"/>
                <w:szCs w:val="24"/>
              </w:rPr>
              <w:t xml:space="preserve"> rozwiązanie</w:t>
            </w:r>
            <w:r w:rsidRPr="00BE3F77">
              <w:rPr>
                <w:color w:val="ED0000"/>
              </w:rPr>
              <w:t xml:space="preserve"> </w:t>
            </w:r>
            <w:r w:rsidRPr="00BE3F77">
              <w:rPr>
                <w:rFonts w:ascii="Times New Roman" w:hAnsi="Times New Roman" w:cs="Times New Roman"/>
                <w:color w:val="ED0000"/>
                <w:sz w:val="24"/>
                <w:szCs w:val="24"/>
              </w:rPr>
              <w:t>przesyłani</w:t>
            </w:r>
            <w:r w:rsidRPr="00BE3F77">
              <w:rPr>
                <w:rFonts w:ascii="Times New Roman" w:hAnsi="Times New Roman" w:cs="Times New Roman"/>
                <w:color w:val="ED0000"/>
                <w:sz w:val="24"/>
                <w:szCs w:val="24"/>
              </w:rPr>
              <w:t>a</w:t>
            </w:r>
            <w:r w:rsidRPr="00BE3F77">
              <w:rPr>
                <w:rFonts w:ascii="Times New Roman" w:hAnsi="Times New Roman" w:cs="Times New Roman"/>
                <w:color w:val="ED0000"/>
                <w:sz w:val="24"/>
                <w:szCs w:val="24"/>
              </w:rPr>
              <w:t xml:space="preserve"> jedynie prostych kodów błędów</w:t>
            </w:r>
            <w:r>
              <w:rPr>
                <w:rFonts w:ascii="Times New Roman" w:hAnsi="Times New Roman" w:cs="Times New Roman"/>
                <w:color w:val="ED0000"/>
                <w:sz w:val="24"/>
                <w:szCs w:val="24"/>
              </w:rPr>
              <w:t xml:space="preserve"> </w:t>
            </w:r>
            <w:r w:rsidRPr="00BE3F77">
              <w:rPr>
                <w:rFonts w:ascii="Times New Roman" w:hAnsi="Times New Roman" w:cs="Times New Roman"/>
                <w:color w:val="ED0000"/>
                <w:sz w:val="24"/>
                <w:szCs w:val="24"/>
              </w:rPr>
              <w:t>pod warunkiem, że sam słownik błędów, będący rozwinięciem przesłanych krótkich błędów, znajdował się będzie bezpośrednio w programie służącym do analizy</w:t>
            </w:r>
            <w:r>
              <w:rPr>
                <w:rFonts w:ascii="Times New Roman" w:hAnsi="Times New Roman" w:cs="Times New Roman"/>
                <w:color w:val="ED0000"/>
                <w:sz w:val="24"/>
                <w:szCs w:val="24"/>
              </w:rPr>
              <w:t>).</w:t>
            </w:r>
          </w:p>
          <w:p w14:paraId="5515A35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dostęp do statystyk i danych historycznych, przeglądanie zarejestrowanych sesji ładowania wraz z następującymi parametrami:</w:t>
            </w:r>
          </w:p>
          <w:p w14:paraId="3A2894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rozpoczęcia sesji ładowania,</w:t>
            </w:r>
          </w:p>
          <w:p w14:paraId="41E445C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zakończenia sesji ładowania,</w:t>
            </w:r>
          </w:p>
          <w:p w14:paraId="6D555BB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czas trwania sesji ładowania,</w:t>
            </w:r>
          </w:p>
          <w:p w14:paraId="7EACBB2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początku sesji ładowania,</w:t>
            </w:r>
          </w:p>
          <w:p w14:paraId="43946CDB"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końca sesji ładowania,</w:t>
            </w:r>
          </w:p>
          <w:p w14:paraId="3020F57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pojazd w czasie sesji ładowania– wyjściowa,</w:t>
            </w:r>
          </w:p>
          <w:p w14:paraId="7B766D6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stacje ładowania w czasie sesji ładowania – wejściowa,</w:t>
            </w:r>
          </w:p>
          <w:p w14:paraId="09504D6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początkowy poziom naładowania baterii trakcyjnych (SoC) ładowanego pojazdu,</w:t>
            </w:r>
          </w:p>
          <w:p w14:paraId="68B656C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końcowy poziom naładowania baterii trakcyjnych (SoC)  ładowanego pojazdu,</w:t>
            </w:r>
          </w:p>
          <w:p w14:paraId="362C4C3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ilość energii przekazanej do pojazdu, wyrażona w procentach, jako różnica pomiędzy początkowym i końcowym poziomem naładowania baterii trakcyjnej (SoC),</w:t>
            </w:r>
          </w:p>
          <w:p w14:paraId="5C74A2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identyfikator pojazdu przedstawiony jako numer boczny pojazdu (numer identyfikacyjny stosowany przez Użytkownika),</w:t>
            </w:r>
          </w:p>
          <w:p w14:paraId="0193EE7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powód zakończenia ładowania,</w:t>
            </w:r>
          </w:p>
          <w:p w14:paraId="232F77B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wykresy zawierające informacje o zmieniających się parametrach ładowania, przesyłanych okresowo przez stacje ładowania w trakcie procesu ładowania:</w:t>
            </w:r>
          </w:p>
          <w:p w14:paraId="6F0F607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napięcie i prąd wyjściowy,</w:t>
            </w:r>
          </w:p>
          <w:p w14:paraId="3BF4D68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SoC- stopień naładowania baterii trakcyjnych)</w:t>
            </w:r>
          </w:p>
          <w:p w14:paraId="3AD64C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moc chwilowa wyjściowa,</w:t>
            </w:r>
          </w:p>
          <w:p w14:paraId="4A2EE28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umożliwić operatorom eksport danych z wszystkich raportów dostępnych w systemie. System musi umożliwić co najmniej eksport danych w formacie csv z uwzględnieniem nagłówków kolumn. Eksport danych musi uwzględniać aktualne filtrowanie i sortowanie raportów lub list.</w:t>
            </w:r>
          </w:p>
          <w:p w14:paraId="03B66F21"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posiadać co najmniej następujące raporty:</w:t>
            </w:r>
          </w:p>
          <w:p w14:paraId="08D1FD0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lista sesji ładowania wraz z parametrami zarejestrowanymi</w:t>
            </w:r>
          </w:p>
          <w:p w14:paraId="7AE517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 kontekście każdej sesji ładowania,</w:t>
            </w:r>
          </w:p>
          <w:p w14:paraId="41B0B8A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lista sesji ładowania z podziałem na każdy ładowany pojazd</w:t>
            </w:r>
          </w:p>
          <w:p w14:paraId="33A82A7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elektryczny, - sumaryczna energia pobrana przez stacje</w:t>
            </w:r>
          </w:p>
          <w:p w14:paraId="55711A1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ładowania w określonym czasie, - sumaryczna energia pobrana przez pojazdy elektryczne w określonym czasie.</w:t>
            </w:r>
          </w:p>
          <w:p w14:paraId="6F03243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Zarządzanie uprawnieniami operatorów.</w:t>
            </w:r>
          </w:p>
          <w:p w14:paraId="669265B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System musi mieć możliwość przypisania jednej z 3 roli</w:t>
            </w:r>
          </w:p>
          <w:p w14:paraId="19542B3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do każdego konta operatora systemu;</w:t>
            </w:r>
          </w:p>
          <w:p w14:paraId="4D0AB6B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System musi posiadać następujące role:</w:t>
            </w:r>
          </w:p>
          <w:p w14:paraId="2F11881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standardowy– tylko podgląd informacji,</w:t>
            </w:r>
          </w:p>
          <w:p w14:paraId="4E9EB7D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zaawansowany – podgląd i możliwość konfiguracji</w:t>
            </w:r>
          </w:p>
          <w:p w14:paraId="3A008D8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systemu w zakresie zarządzania stacjami ładowania (dodawanie, modyfikacja),</w:t>
            </w:r>
          </w:p>
          <w:p w14:paraId="424136C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administrator – pełne uprawnienia do podglądu i modyfikacji wszystkich parametrów systemu.</w:t>
            </w:r>
          </w:p>
          <w:p w14:paraId="5ADF2A8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będzie gromadził wszystkie notyfikacje (zwanym alertami) generowane przez stacje ładowania i na podstawie reguł określonych przez Użytkownika będzie przekazywał na bieżąco notyfikacje ze stacji ładowania do wskazanych operatorów za pomocą poczty elektronicznej.</w:t>
            </w:r>
          </w:p>
          <w:p w14:paraId="3E6EC299"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A2C4DB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a)licencją nieograniczaną czasowo, w zakresie ilości stacji ładowania i zastosowanych rozwiązań technicznych, </w:t>
            </w:r>
          </w:p>
          <w:p w14:paraId="50AE08B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minimum10 kont operatorów systemu.</w:t>
            </w:r>
          </w:p>
          <w:p w14:paraId="3F907CB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Użytkownik zezwala na monitorowanie urządzeń przez  Wykonawcę w okresie gwarancji.  </w:t>
            </w:r>
          </w:p>
          <w:p w14:paraId="250E43F7"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W ramach serwisu gwarancyjnego oprogramowania  Wykonawca:  </w:t>
            </w:r>
          </w:p>
          <w:p w14:paraId="2F52246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zapewnia przyjmowanie zgłoszeń awarii w trybie  24h/7dni/365dni, mailem lub telefonicznie lub faxem,  </w:t>
            </w:r>
          </w:p>
          <w:p w14:paraId="7D4AB2A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wykona na miejscu u Użytkownika przeglądy gwarancyjne  oprogramowania i baz danych w ilości minimum jeden  przegląd/rok. Przeglądy gwarancyjne obejmują poprawę,  kontrolę, konfiguracji i poprawności działania  oprogramowania,</w:t>
            </w:r>
          </w:p>
          <w:p w14:paraId="35B4452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c) usunie awarie programowe,  </w:t>
            </w:r>
          </w:p>
          <w:p w14:paraId="5FCCA6B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 usunie błędy baz danych (w tym brak spójności  i integralności danych, itp.) niepolegające na błędnej  obsłudze,</w:t>
            </w:r>
          </w:p>
          <w:p w14:paraId="4925200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e) zapewni prawidłowe (nieograniczone czasowo  i funkcjonalnie) działanie systemu, </w:t>
            </w:r>
          </w:p>
          <w:p w14:paraId="304BCE4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f) usunięcie usterki zakończy się raportem usunięcia usterki  sporządzonym w dwóch egzemplarzach i zawierającym  informacje:  </w:t>
            </w:r>
          </w:p>
          <w:p w14:paraId="6734F95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data i godzina zgłoszenia usterki,  </w:t>
            </w:r>
          </w:p>
          <w:p w14:paraId="764E7B5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i nazwisko zgłaszającego  </w:t>
            </w:r>
          </w:p>
          <w:p w14:paraId="3BDF62D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nazwa systemu  </w:t>
            </w:r>
          </w:p>
          <w:p w14:paraId="03DEE96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moduł/funkcja systemu  </w:t>
            </w:r>
          </w:p>
          <w:p w14:paraId="19AE045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nazwisko, telefon osoby/osób kontaktowych ze  strony Operatora.  </w:t>
            </w:r>
          </w:p>
          <w:p w14:paraId="43E86BB8"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Użytkownik dopuszcza rozwiązanie, w którym czynności  niewymagające osobistego stawiennictwa do prawidłowego i  skutecznego wykonania/rozwiązania problemu/usterki były wykonywane zdalnie.</w:t>
            </w:r>
          </w:p>
          <w:p w14:paraId="467958F2"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okresie gwarancji bezpłatną aktualizację systemu do najnowszych wersji w tym wersji rozbudowanych o nowe lub usprawnione funkcjonalności.</w:t>
            </w:r>
          </w:p>
          <w:p w14:paraId="593162EC" w14:textId="77777777" w:rsidR="006E7D66" w:rsidRPr="009D61EA" w:rsidRDefault="006E7D66" w:rsidP="005F5726">
            <w:pPr>
              <w:pStyle w:val="Bezodstpw"/>
              <w:ind w:left="720"/>
              <w:jc w:val="both"/>
              <w:rPr>
                <w:rFonts w:ascii="Times New Roman" w:hAnsi="Times New Roman" w:cs="Times New Roman"/>
                <w:sz w:val="24"/>
                <w:szCs w:val="24"/>
              </w:rPr>
            </w:pPr>
          </w:p>
        </w:tc>
      </w:tr>
      <w:tr w:rsidR="00564B6A" w:rsidRPr="009D61EA" w14:paraId="5494F326" w14:textId="77777777" w:rsidTr="004D05B0">
        <w:tc>
          <w:tcPr>
            <w:tcW w:w="704" w:type="dxa"/>
          </w:tcPr>
          <w:p w14:paraId="416369E2"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5.</w:t>
            </w:r>
          </w:p>
        </w:tc>
        <w:tc>
          <w:tcPr>
            <w:tcW w:w="2410" w:type="dxa"/>
          </w:tcPr>
          <w:p w14:paraId="1DE1CC7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Uwierzytelnianie użytkowników</w:t>
            </w:r>
          </w:p>
        </w:tc>
        <w:tc>
          <w:tcPr>
            <w:tcW w:w="6232" w:type="dxa"/>
          </w:tcPr>
          <w:p w14:paraId="7A6D77AC" w14:textId="77777777" w:rsidR="006E7D66" w:rsidRPr="009D61EA" w:rsidRDefault="006E7D66" w:rsidP="005F5726">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w wersji podstawowej będzie autoryzował i uwierzytelniał pojazdy ładowane za pomocą odczytania numeru pojazdu po podłączeniu do stacji ładowania.</w:t>
            </w:r>
          </w:p>
        </w:tc>
      </w:tr>
      <w:tr w:rsidR="00564B6A" w:rsidRPr="009D61EA" w14:paraId="737E47EB" w14:textId="77777777" w:rsidTr="004D05B0">
        <w:tc>
          <w:tcPr>
            <w:tcW w:w="704" w:type="dxa"/>
          </w:tcPr>
          <w:p w14:paraId="7140E7C5"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6.</w:t>
            </w:r>
          </w:p>
        </w:tc>
        <w:tc>
          <w:tcPr>
            <w:tcW w:w="2410" w:type="dxa"/>
          </w:tcPr>
          <w:p w14:paraId="62087124"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Instruktaż</w:t>
            </w:r>
          </w:p>
        </w:tc>
        <w:tc>
          <w:tcPr>
            <w:tcW w:w="6232" w:type="dxa"/>
          </w:tcPr>
          <w:p w14:paraId="78E96697" w14:textId="1BC16B1A"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w ramach dostawy i uruchomienia systemu  ładowania oraz systemu monitoringu / nadzoru nad stacjami  ładowania przeprowadzi w siedzibie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instruktaż,  w formie stacjonarnej.  </w:t>
            </w:r>
          </w:p>
          <w:p w14:paraId="616017E0" w14:textId="77777777"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instruktaż odbył się w grupach  tematycznych:  </w:t>
            </w:r>
          </w:p>
          <w:p w14:paraId="06AC789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instruktaż serwisu z zakresu obsługi oraz diagnostyki  sytemu –maksymalnie 4 osoby,  </w:t>
            </w:r>
          </w:p>
          <w:p w14:paraId="2A1045E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 instruktaż użytkowy z zakresu bieżącej eksploatacji  systemu ładowania mający na celu przygotowanie  pracowników do obsługi systemu ładowania  w szczególności systemu monitoringu/ nadzoru nad  stacjami ładowania – maksymalnie 10 osób,  </w:t>
            </w:r>
          </w:p>
          <w:p w14:paraId="7F37C35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c) instruktaż dla administratorów systemu monitoringu/  nadzoru nad stacjami ładowania – maksymalnie 3 osoby.  Łączny czas wszystkich szkoleń nie może przekroczyć  16 godzin.</w:t>
            </w:r>
          </w:p>
          <w:p w14:paraId="1A9F7CAA" w14:textId="0EA26FBB"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Po zakończeniu instruktażu personel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będzie  w stanie przeprowadzić diagnostykę działania systemu  i określić zakres czynności niezbędnych do przeprowadzenia  napraw, a także wprowadzania zmian i korekt.  </w:t>
            </w:r>
          </w:p>
        </w:tc>
      </w:tr>
      <w:tr w:rsidR="006E7D66" w:rsidRPr="009D61EA" w14:paraId="12EAF2A0" w14:textId="77777777" w:rsidTr="004D05B0">
        <w:tc>
          <w:tcPr>
            <w:tcW w:w="704" w:type="dxa"/>
          </w:tcPr>
          <w:p w14:paraId="4E99EB1F"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7.</w:t>
            </w:r>
          </w:p>
        </w:tc>
        <w:tc>
          <w:tcPr>
            <w:tcW w:w="2410" w:type="dxa"/>
          </w:tcPr>
          <w:p w14:paraId="01DDDBB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Serwis pogwarancyjny i części zamienne</w:t>
            </w:r>
          </w:p>
        </w:tc>
        <w:tc>
          <w:tcPr>
            <w:tcW w:w="6232" w:type="dxa"/>
          </w:tcPr>
          <w:p w14:paraId="37426142"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zagwarantuje dostawę części zamiennych przez okres 7 lat od upływu terminu gwarancji.</w:t>
            </w:r>
          </w:p>
          <w:p w14:paraId="0899E4CB"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po zakończeniu okresu gwarancji w ciągu 7 kolejnych lat Wykonawca świadczył usługi serwisu pogwarancyjnego urządzeń dostarczonych w ramach niniejszego zamówienia.</w:t>
            </w:r>
          </w:p>
        </w:tc>
      </w:tr>
    </w:tbl>
    <w:p w14:paraId="1934FE8F" w14:textId="77777777" w:rsidR="006E7D66" w:rsidRPr="009D61EA" w:rsidRDefault="006E7D66" w:rsidP="006E7D66">
      <w:pPr>
        <w:pStyle w:val="Bezodstpw"/>
        <w:ind w:left="720"/>
        <w:rPr>
          <w:rFonts w:ascii="Times New Roman" w:hAnsi="Times New Roman" w:cs="Times New Roman"/>
          <w:sz w:val="24"/>
          <w:szCs w:val="24"/>
        </w:rPr>
      </w:pPr>
    </w:p>
    <w:p w14:paraId="73AD10B7" w14:textId="77777777" w:rsidR="006E7D66" w:rsidRPr="009D61EA" w:rsidRDefault="006E7D66" w:rsidP="006E7D66">
      <w:pPr>
        <w:pStyle w:val="Bezodstpw"/>
        <w:ind w:left="720"/>
        <w:rPr>
          <w:rFonts w:ascii="Times New Roman" w:hAnsi="Times New Roman" w:cs="Times New Roman"/>
          <w:sz w:val="24"/>
          <w:szCs w:val="24"/>
        </w:rPr>
      </w:pPr>
    </w:p>
    <w:p w14:paraId="549A217C" w14:textId="624F1937" w:rsidR="006E7D66"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działając jako pełnomocnik Zamawiającego uzyska w imieniu Zamawiającego, zgodnie z wymaganiami ustawy z dnia 11 stycznia 2018 r. o elektromobilności i paliwach alternatywnych </w:t>
      </w:r>
      <w:r w:rsidR="0077308C" w:rsidRPr="0077308C">
        <w:rPr>
          <w:rFonts w:ascii="Times New Roman" w:hAnsi="Times New Roman" w:cs="Times New Roman"/>
          <w:sz w:val="24"/>
          <w:szCs w:val="24"/>
        </w:rPr>
        <w:t>(Dz.U. z 2023 r., poz. 875, z</w:t>
      </w:r>
      <w:r w:rsidR="0077308C">
        <w:rPr>
          <w:rFonts w:ascii="Times New Roman" w:hAnsi="Times New Roman" w:cs="Times New Roman"/>
          <w:sz w:val="24"/>
          <w:szCs w:val="24"/>
        </w:rPr>
        <w:t xml:space="preserve"> późn.</w:t>
      </w:r>
      <w:r w:rsidR="0077308C" w:rsidRPr="0077308C">
        <w:rPr>
          <w:rFonts w:ascii="Times New Roman" w:hAnsi="Times New Roman" w:cs="Times New Roman"/>
          <w:sz w:val="24"/>
          <w:szCs w:val="24"/>
        </w:rPr>
        <w:t xml:space="preserve"> zm.)</w:t>
      </w:r>
      <w:bookmarkStart w:id="5" w:name="_Hlk169548842"/>
      <w:r w:rsidRPr="009D61EA">
        <w:rPr>
          <w:rFonts w:ascii="Times New Roman" w:hAnsi="Times New Roman" w:cs="Times New Roman"/>
          <w:sz w:val="24"/>
          <w:szCs w:val="24"/>
        </w:rPr>
        <w:t xml:space="preserve">decyzję zezwalającą na eksploatację infrastruktury ładowania drogowego transportu publicznego we właściwej dla Zamawiającego jednostce Urzędu Dozoru Technicznego (UDT). </w:t>
      </w:r>
      <w:bookmarkEnd w:id="5"/>
      <w:r w:rsidRPr="009D61EA">
        <w:rPr>
          <w:rFonts w:ascii="Times New Roman" w:hAnsi="Times New Roman" w:cs="Times New Roman"/>
          <w:sz w:val="24"/>
          <w:szCs w:val="24"/>
        </w:rPr>
        <w:t>Na podstawie wydanej decyzji zostaną założone księgi rewizyjne urządzeń - sposób ich dostarczenia zostanie uzgodniony między Stronami. Uzyskanie decyzji zezwalającej na eksploatację ładowarek stanowi warunek ich odbioru przez zamawiającego.</w:t>
      </w:r>
    </w:p>
    <w:p w14:paraId="066D862D" w14:textId="25E3C41C" w:rsidR="007A6C5E"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Po uzyskaniu dopuszczenia do eksploatacji urządzeń, Wykonawca przekaże </w:t>
      </w:r>
      <w:r w:rsidR="00B4797F" w:rsidRPr="009D61EA">
        <w:rPr>
          <w:rFonts w:ascii="Times New Roman" w:hAnsi="Times New Roman" w:cs="Times New Roman"/>
          <w:sz w:val="24"/>
          <w:szCs w:val="24"/>
        </w:rPr>
        <w:t>Operatorowi</w:t>
      </w:r>
      <w:r w:rsidRPr="009D61EA">
        <w:rPr>
          <w:rFonts w:ascii="Times New Roman" w:hAnsi="Times New Roman" w:cs="Times New Roman"/>
          <w:sz w:val="24"/>
          <w:szCs w:val="24"/>
        </w:rPr>
        <w:t xml:space="preserve"> dokumenty załączone do wniosku o przeprowadzenie badania, o którym mowa w § 17 pkt 1  Rozporządzenie Ministra Energii z dnia 26 czerwca 2019 r. w sprawie wymagań  technicznych dla stacji ładowania i punktów ładowania stanowiących element infrastruktury  ładowania drogowego transportu publicznego (Dz.U. 2019</w:t>
      </w:r>
      <w:r w:rsidR="0077308C">
        <w:rPr>
          <w:rFonts w:ascii="Times New Roman" w:hAnsi="Times New Roman" w:cs="Times New Roman"/>
          <w:sz w:val="24"/>
          <w:szCs w:val="24"/>
        </w:rPr>
        <w:t xml:space="preserve"> r. </w:t>
      </w:r>
      <w:r w:rsidRPr="009D61EA">
        <w:rPr>
          <w:rFonts w:ascii="Times New Roman" w:hAnsi="Times New Roman" w:cs="Times New Roman"/>
          <w:sz w:val="24"/>
          <w:szCs w:val="24"/>
        </w:rPr>
        <w:t xml:space="preserve"> poz. 1316 z późn. zm.), to jest:  </w:t>
      </w:r>
    </w:p>
    <w:p w14:paraId="5C1A81E9"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opis techniczny urządzenia;  </w:t>
      </w:r>
    </w:p>
    <w:p w14:paraId="1B6C43D9" w14:textId="1A9F3165"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deklarację zgodności, o której mowa w art. 5 pkt 10 ustawy z dnia 30 sierpnia 2002 r.  o systemie oceny zgodności (Dz. U. z 202</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r. poz. </w:t>
      </w:r>
      <w:r w:rsidR="00E048F6" w:rsidRPr="009D61EA">
        <w:rPr>
          <w:rFonts w:ascii="Times New Roman" w:hAnsi="Times New Roman" w:cs="Times New Roman"/>
          <w:sz w:val="24"/>
          <w:szCs w:val="24"/>
        </w:rPr>
        <w:t>215</w:t>
      </w:r>
      <w:r w:rsidR="005F5726">
        <w:rPr>
          <w:rFonts w:ascii="Times New Roman" w:hAnsi="Times New Roman" w:cs="Times New Roman"/>
          <w:sz w:val="24"/>
          <w:szCs w:val="24"/>
        </w:rPr>
        <w:t xml:space="preserve"> z późn. zm.</w:t>
      </w:r>
      <w:r w:rsidRPr="009D61EA">
        <w:rPr>
          <w:rFonts w:ascii="Times New Roman" w:hAnsi="Times New Roman" w:cs="Times New Roman"/>
          <w:sz w:val="24"/>
          <w:szCs w:val="24"/>
        </w:rPr>
        <w:t xml:space="preserve">);    </w:t>
      </w:r>
    </w:p>
    <w:p w14:paraId="07A51335" w14:textId="541033F6"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instrukcję eksploatacji w języku polskim</w:t>
      </w:r>
      <w:r w:rsidR="00AD3440" w:rsidRPr="009D61EA">
        <w:rPr>
          <w:rFonts w:ascii="Times New Roman" w:hAnsi="Times New Roman" w:cs="Times New Roman"/>
          <w:sz w:val="24"/>
          <w:szCs w:val="24"/>
        </w:rPr>
        <w:t xml:space="preserve"> lub wraz z tłumaczeniem w j</w:t>
      </w:r>
      <w:r w:rsidR="000F05CA" w:rsidRPr="009D61EA">
        <w:rPr>
          <w:rFonts w:ascii="Times New Roman" w:hAnsi="Times New Roman" w:cs="Times New Roman"/>
          <w:sz w:val="24"/>
          <w:szCs w:val="24"/>
        </w:rPr>
        <w:t>ęz</w:t>
      </w:r>
      <w:r w:rsidR="00AD3440" w:rsidRPr="009D61EA">
        <w:rPr>
          <w:rFonts w:ascii="Times New Roman" w:hAnsi="Times New Roman" w:cs="Times New Roman"/>
          <w:sz w:val="24"/>
          <w:szCs w:val="24"/>
        </w:rPr>
        <w:t>yku polskim</w:t>
      </w:r>
      <w:r w:rsidRPr="009D61EA">
        <w:rPr>
          <w:rFonts w:ascii="Times New Roman" w:hAnsi="Times New Roman" w:cs="Times New Roman"/>
          <w:sz w:val="24"/>
          <w:szCs w:val="24"/>
        </w:rPr>
        <w:t xml:space="preserve">;  </w:t>
      </w:r>
    </w:p>
    <w:p w14:paraId="7E976348" w14:textId="0943154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protokoły pomiarów elektrycznych, o których mowa w § 13 ust. 3, zatwierdzone przez  osobę spełniającą wymagania kwalifikacyjne dla stanowiska dozoru, o której mowa  w przepisach wydanych na podstawie art. 54 ust. 6 ustawy z dnia 10 kwietnia 1997 r. -  Prawo energetyczne</w:t>
      </w:r>
      <w:r w:rsidR="00577929" w:rsidRPr="009D61EA">
        <w:rPr>
          <w:rFonts w:ascii="Times New Roman" w:hAnsi="Times New Roman" w:cs="Times New Roman"/>
          <w:sz w:val="24"/>
          <w:szCs w:val="24"/>
        </w:rPr>
        <w:t xml:space="preserve"> (Dz.</w:t>
      </w:r>
      <w:r w:rsidR="00931724" w:rsidRPr="009D61EA">
        <w:rPr>
          <w:rFonts w:ascii="Times New Roman" w:hAnsi="Times New Roman" w:cs="Times New Roman"/>
          <w:sz w:val="24"/>
          <w:szCs w:val="24"/>
        </w:rPr>
        <w:t>U.</w:t>
      </w:r>
      <w:r w:rsidR="005F5726">
        <w:rPr>
          <w:rFonts w:ascii="Times New Roman" w:hAnsi="Times New Roman" w:cs="Times New Roman"/>
          <w:sz w:val="24"/>
          <w:szCs w:val="24"/>
        </w:rPr>
        <w:t xml:space="preserve"> z </w:t>
      </w:r>
      <w:r w:rsidR="00577929" w:rsidRPr="009D61EA">
        <w:rPr>
          <w:rFonts w:ascii="Times New Roman" w:hAnsi="Times New Roman" w:cs="Times New Roman"/>
          <w:sz w:val="24"/>
          <w:szCs w:val="24"/>
        </w:rPr>
        <w:t>2024</w:t>
      </w:r>
      <w:r w:rsidR="005F5726">
        <w:rPr>
          <w:rFonts w:ascii="Times New Roman" w:hAnsi="Times New Roman" w:cs="Times New Roman"/>
          <w:sz w:val="24"/>
          <w:szCs w:val="24"/>
        </w:rPr>
        <w:t xml:space="preserve"> r</w:t>
      </w:r>
      <w:r w:rsidR="00931724" w:rsidRPr="009D61EA">
        <w:rPr>
          <w:rFonts w:ascii="Times New Roman" w:hAnsi="Times New Roman" w:cs="Times New Roman"/>
          <w:sz w:val="24"/>
          <w:szCs w:val="24"/>
        </w:rPr>
        <w:t>.</w:t>
      </w:r>
      <w:r w:rsidR="005F5726">
        <w:rPr>
          <w:rFonts w:ascii="Times New Roman" w:hAnsi="Times New Roman" w:cs="Times New Roman"/>
          <w:sz w:val="24"/>
          <w:szCs w:val="24"/>
        </w:rPr>
        <w:t xml:space="preserve"> poz. </w:t>
      </w:r>
      <w:r w:rsidR="00577929" w:rsidRPr="009D61EA">
        <w:rPr>
          <w:rFonts w:ascii="Times New Roman" w:hAnsi="Times New Roman" w:cs="Times New Roman"/>
          <w:sz w:val="24"/>
          <w:szCs w:val="24"/>
        </w:rPr>
        <w:t>266</w:t>
      </w:r>
      <w:r w:rsidR="005F5726">
        <w:rPr>
          <w:rFonts w:ascii="Times New Roman" w:hAnsi="Times New Roman" w:cs="Times New Roman"/>
          <w:sz w:val="24"/>
          <w:szCs w:val="24"/>
        </w:rPr>
        <w:t xml:space="preserve"> z późn. zm.</w:t>
      </w:r>
      <w:r w:rsidR="00577929" w:rsidRPr="009D61EA">
        <w:rPr>
          <w:rFonts w:ascii="Times New Roman" w:hAnsi="Times New Roman" w:cs="Times New Roman"/>
          <w:sz w:val="24"/>
          <w:szCs w:val="24"/>
        </w:rPr>
        <w:t>)</w:t>
      </w:r>
      <w:r w:rsidRPr="009D61EA">
        <w:rPr>
          <w:rFonts w:ascii="Times New Roman" w:hAnsi="Times New Roman" w:cs="Times New Roman"/>
          <w:sz w:val="24"/>
          <w:szCs w:val="24"/>
        </w:rPr>
        <w:t xml:space="preserve">, wraz z kopią świadectwa kwalifikacyjnego tej osoby poświadczoną  przez nią za zgodność z oryginałem;  </w:t>
      </w:r>
    </w:p>
    <w:p w14:paraId="05209A2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rysunek wraz z opisem:  </w:t>
      </w:r>
    </w:p>
    <w:p w14:paraId="1803E6A8" w14:textId="77777777"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miejsca usytuowania urządzenia, w szczególności względem obszarów ruchu  drogowego, ruchu pieszego, stanowisk postojowych do ładowania pojazdów, stref  zagrożenia wybuchem,  </w:t>
      </w:r>
    </w:p>
    <w:p w14:paraId="2A91102D" w14:textId="4EC5DEDF"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zastosowanych zabezpieczeń urządzenia przed uszkodzeniami mechanicznymi  w rozumieniu § 8 i sposobu odprowadzania wód opadowych, jeżeli warunki otoczenia  urządzenia tego wymagają;  </w:t>
      </w:r>
    </w:p>
    <w:p w14:paraId="66F01DD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schemat zasilania urządzenia, w szczególności ze wskazaniem wyposażenia punktu  ładowania umożliwiającego połączenie pojazdu z punktem ładowania i pobór energii  elektrycznej przez ten pojazd (osprzęt zasilający), wielkości i rodzaju zabezpieczeń,  rodzaju i typu przewodów zasilających;  </w:t>
      </w:r>
    </w:p>
    <w:p w14:paraId="6A5FC7E2"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lastRenderedPageBreak/>
        <w:t xml:space="preserve">kopię protokołu odbioru technicznego instalacji elektrycznej lub przyłącza  elektroenergetycznego;  </w:t>
      </w:r>
    </w:p>
    <w:p w14:paraId="76FAEE34"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opinię o spełnieniu wymagań z zakresu ochrony przeciwpożarowej wystawioną przez  rzeczoznawcę do spraw zabezpieczeń przeciwpożarowych;  </w:t>
      </w:r>
    </w:p>
    <w:p w14:paraId="67714B1B" w14:textId="7B5F960E"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inne niezbędne dokumenty w przypadku zmiany obowiązujących przepisów dotyczących  dopuszczenia infrastruktury ładowania do eksploatacji.  </w:t>
      </w:r>
    </w:p>
    <w:sectPr w:rsidR="007A6C5E" w:rsidRPr="009D61EA" w:rsidSect="00522948">
      <w:headerReference w:type="default" r:id="rId7"/>
      <w:pgSz w:w="11906" w:h="16838"/>
      <w:pgMar w:top="1134"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505C9" w14:textId="77777777" w:rsidR="00126E8A" w:rsidRDefault="00126E8A" w:rsidP="00522948">
      <w:r>
        <w:separator/>
      </w:r>
    </w:p>
  </w:endnote>
  <w:endnote w:type="continuationSeparator" w:id="0">
    <w:p w14:paraId="65A08B2C" w14:textId="77777777" w:rsidR="00126E8A" w:rsidRDefault="00126E8A" w:rsidP="005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algun Gothic Semilight"/>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C725E" w14:textId="77777777" w:rsidR="00126E8A" w:rsidRDefault="00126E8A" w:rsidP="00522948">
      <w:r>
        <w:separator/>
      </w:r>
    </w:p>
  </w:footnote>
  <w:footnote w:type="continuationSeparator" w:id="0">
    <w:p w14:paraId="6E1588B6" w14:textId="77777777" w:rsidR="00126E8A" w:rsidRDefault="00126E8A" w:rsidP="0052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8C99" w14:textId="7D5742D1" w:rsidR="00522948" w:rsidRDefault="00522948">
    <w:pPr>
      <w:pStyle w:val="Nagwek"/>
    </w:pPr>
    <w:r>
      <w:rPr>
        <w:noProof/>
      </w:rPr>
      <w:drawing>
        <wp:inline distT="0" distB="0" distL="0" distR="0" wp14:anchorId="7F70A1A1" wp14:editId="1101639D">
          <wp:extent cx="5761355" cy="560705"/>
          <wp:effectExtent l="0" t="0" r="0" b="0"/>
          <wp:docPr id="374226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80E"/>
    <w:multiLevelType w:val="hybridMultilevel"/>
    <w:tmpl w:val="4C749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41F1"/>
    <w:multiLevelType w:val="hybridMultilevel"/>
    <w:tmpl w:val="D72A205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F42F6"/>
    <w:multiLevelType w:val="hybridMultilevel"/>
    <w:tmpl w:val="FE26C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713BF0"/>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740B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F6FBB"/>
    <w:multiLevelType w:val="hybridMultilevel"/>
    <w:tmpl w:val="4A7AB4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44200"/>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07A02"/>
    <w:multiLevelType w:val="hybridMultilevel"/>
    <w:tmpl w:val="8F483A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007D27"/>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561EA1"/>
    <w:multiLevelType w:val="hybridMultilevel"/>
    <w:tmpl w:val="6F9648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22D01"/>
    <w:multiLevelType w:val="hybridMultilevel"/>
    <w:tmpl w:val="6FF699B2"/>
    <w:lvl w:ilvl="0" w:tplc="8AF2D71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F20BD"/>
    <w:multiLevelType w:val="hybridMultilevel"/>
    <w:tmpl w:val="8DB01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C69C4"/>
    <w:multiLevelType w:val="hybridMultilevel"/>
    <w:tmpl w:val="8F48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AD7814"/>
    <w:multiLevelType w:val="hybridMultilevel"/>
    <w:tmpl w:val="F314CD5C"/>
    <w:lvl w:ilvl="0" w:tplc="0415000F">
      <w:start w:val="1"/>
      <w:numFmt w:val="decimal"/>
      <w:lvlText w:val="%1."/>
      <w:lvlJc w:val="left"/>
      <w:pPr>
        <w:ind w:left="720" w:hanging="360"/>
      </w:pPr>
    </w:lvl>
    <w:lvl w:ilvl="1" w:tplc="D0CA6A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36708E"/>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987655"/>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540ABE"/>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A501F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EB6069"/>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4C2EF6"/>
    <w:multiLevelType w:val="hybridMultilevel"/>
    <w:tmpl w:val="A16C3F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55B7C"/>
    <w:multiLevelType w:val="hybridMultilevel"/>
    <w:tmpl w:val="FE26C5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634721"/>
    <w:multiLevelType w:val="hybridMultilevel"/>
    <w:tmpl w:val="D72A20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9596087">
    <w:abstractNumId w:val="13"/>
  </w:num>
  <w:num w:numId="2" w16cid:durableId="1458911483">
    <w:abstractNumId w:val="11"/>
  </w:num>
  <w:num w:numId="3" w16cid:durableId="1333528694">
    <w:abstractNumId w:val="0"/>
  </w:num>
  <w:num w:numId="4" w16cid:durableId="1768237143">
    <w:abstractNumId w:val="12"/>
  </w:num>
  <w:num w:numId="5" w16cid:durableId="1640839201">
    <w:abstractNumId w:val="7"/>
  </w:num>
  <w:num w:numId="6" w16cid:durableId="1562907292">
    <w:abstractNumId w:val="19"/>
  </w:num>
  <w:num w:numId="7" w16cid:durableId="210270191">
    <w:abstractNumId w:val="20"/>
  </w:num>
  <w:num w:numId="8" w16cid:durableId="674458641">
    <w:abstractNumId w:val="2"/>
  </w:num>
  <w:num w:numId="9" w16cid:durableId="1224178296">
    <w:abstractNumId w:val="9"/>
  </w:num>
  <w:num w:numId="10" w16cid:durableId="1915431139">
    <w:abstractNumId w:val="18"/>
  </w:num>
  <w:num w:numId="11" w16cid:durableId="443774306">
    <w:abstractNumId w:val="4"/>
  </w:num>
  <w:num w:numId="12" w16cid:durableId="1888104140">
    <w:abstractNumId w:val="15"/>
  </w:num>
  <w:num w:numId="13" w16cid:durableId="752702712">
    <w:abstractNumId w:val="17"/>
  </w:num>
  <w:num w:numId="14" w16cid:durableId="345139764">
    <w:abstractNumId w:val="8"/>
  </w:num>
  <w:num w:numId="15" w16cid:durableId="916668958">
    <w:abstractNumId w:val="14"/>
  </w:num>
  <w:num w:numId="16" w16cid:durableId="760108248">
    <w:abstractNumId w:val="6"/>
  </w:num>
  <w:num w:numId="17" w16cid:durableId="85805464">
    <w:abstractNumId w:val="5"/>
  </w:num>
  <w:num w:numId="18" w16cid:durableId="1764764764">
    <w:abstractNumId w:val="1"/>
  </w:num>
  <w:num w:numId="19" w16cid:durableId="71781925">
    <w:abstractNumId w:val="21"/>
  </w:num>
  <w:num w:numId="20" w16cid:durableId="434524234">
    <w:abstractNumId w:val="3"/>
  </w:num>
  <w:num w:numId="21" w16cid:durableId="1310669882">
    <w:abstractNumId w:val="16"/>
  </w:num>
  <w:num w:numId="22" w16cid:durableId="1597716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7F"/>
    <w:rsid w:val="00015D97"/>
    <w:rsid w:val="00030578"/>
    <w:rsid w:val="00036172"/>
    <w:rsid w:val="000739FB"/>
    <w:rsid w:val="000C6116"/>
    <w:rsid w:val="000D728B"/>
    <w:rsid w:val="000F05CA"/>
    <w:rsid w:val="001157DC"/>
    <w:rsid w:val="00126E8A"/>
    <w:rsid w:val="00142C1A"/>
    <w:rsid w:val="00152CEA"/>
    <w:rsid w:val="00195B7E"/>
    <w:rsid w:val="001C75DA"/>
    <w:rsid w:val="001D5714"/>
    <w:rsid w:val="001F4D71"/>
    <w:rsid w:val="001F7ED8"/>
    <w:rsid w:val="002573CB"/>
    <w:rsid w:val="00280B03"/>
    <w:rsid w:val="00302F80"/>
    <w:rsid w:val="00304ED7"/>
    <w:rsid w:val="00314A71"/>
    <w:rsid w:val="00331DA7"/>
    <w:rsid w:val="00344401"/>
    <w:rsid w:val="003753BB"/>
    <w:rsid w:val="0038547F"/>
    <w:rsid w:val="003960F2"/>
    <w:rsid w:val="003B5224"/>
    <w:rsid w:val="003B6F7D"/>
    <w:rsid w:val="003E7827"/>
    <w:rsid w:val="0047503F"/>
    <w:rsid w:val="004C6E00"/>
    <w:rsid w:val="00522948"/>
    <w:rsid w:val="00526018"/>
    <w:rsid w:val="005346FC"/>
    <w:rsid w:val="00564B6A"/>
    <w:rsid w:val="00575778"/>
    <w:rsid w:val="0057637A"/>
    <w:rsid w:val="00577929"/>
    <w:rsid w:val="005E0BDB"/>
    <w:rsid w:val="005F5726"/>
    <w:rsid w:val="00636574"/>
    <w:rsid w:val="00640DF5"/>
    <w:rsid w:val="0065550F"/>
    <w:rsid w:val="006660D3"/>
    <w:rsid w:val="006A1D8B"/>
    <w:rsid w:val="006B05AF"/>
    <w:rsid w:val="006C05D3"/>
    <w:rsid w:val="006E7D66"/>
    <w:rsid w:val="006F19AD"/>
    <w:rsid w:val="006F22E3"/>
    <w:rsid w:val="00707F52"/>
    <w:rsid w:val="0071014D"/>
    <w:rsid w:val="0074575D"/>
    <w:rsid w:val="0077308C"/>
    <w:rsid w:val="00782472"/>
    <w:rsid w:val="0078423E"/>
    <w:rsid w:val="007950C5"/>
    <w:rsid w:val="007A6C5E"/>
    <w:rsid w:val="007D77F6"/>
    <w:rsid w:val="00807ABE"/>
    <w:rsid w:val="00834DC8"/>
    <w:rsid w:val="008D5968"/>
    <w:rsid w:val="00917243"/>
    <w:rsid w:val="00922B06"/>
    <w:rsid w:val="009269B1"/>
    <w:rsid w:val="00931724"/>
    <w:rsid w:val="009407A2"/>
    <w:rsid w:val="009C5CC7"/>
    <w:rsid w:val="009D61EA"/>
    <w:rsid w:val="00A06C60"/>
    <w:rsid w:val="00A10855"/>
    <w:rsid w:val="00A336D9"/>
    <w:rsid w:val="00A35761"/>
    <w:rsid w:val="00A92FC0"/>
    <w:rsid w:val="00A93583"/>
    <w:rsid w:val="00A9649D"/>
    <w:rsid w:val="00AB59E9"/>
    <w:rsid w:val="00AD3440"/>
    <w:rsid w:val="00B0513B"/>
    <w:rsid w:val="00B274F3"/>
    <w:rsid w:val="00B36CE6"/>
    <w:rsid w:val="00B4139C"/>
    <w:rsid w:val="00B4797F"/>
    <w:rsid w:val="00BE3F77"/>
    <w:rsid w:val="00BE5B6A"/>
    <w:rsid w:val="00C02A2F"/>
    <w:rsid w:val="00C204B1"/>
    <w:rsid w:val="00C206C2"/>
    <w:rsid w:val="00C6160B"/>
    <w:rsid w:val="00C805A7"/>
    <w:rsid w:val="00D81073"/>
    <w:rsid w:val="00D9246D"/>
    <w:rsid w:val="00E048F6"/>
    <w:rsid w:val="00E40AD6"/>
    <w:rsid w:val="00E6320C"/>
    <w:rsid w:val="00E635BC"/>
    <w:rsid w:val="00E63A6C"/>
    <w:rsid w:val="00EC20D8"/>
    <w:rsid w:val="00ED128C"/>
    <w:rsid w:val="00EE14C0"/>
    <w:rsid w:val="00F31086"/>
    <w:rsid w:val="00F542A8"/>
    <w:rsid w:val="00FB4270"/>
    <w:rsid w:val="00FC41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4E685"/>
  <w15:chartTrackingRefBased/>
  <w15:docId w15:val="{6D57ADD4-1DC8-435F-A6FF-8CF965F4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948"/>
    <w:pPr>
      <w:suppressAutoHyphens/>
      <w:spacing w:after="0" w:line="240" w:lineRule="auto"/>
    </w:pPr>
    <w:rPr>
      <w:rFonts w:ascii="Times New Roman" w:eastAsia="Times New Roman" w:hAnsi="Times New Roman" w:cs="Times New Roman"/>
      <w:color w:val="00000A"/>
      <w:kern w:val="1"/>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8547F"/>
    <w:pPr>
      <w:spacing w:after="0" w:line="240" w:lineRule="auto"/>
    </w:pPr>
  </w:style>
  <w:style w:type="table" w:styleId="Tabela-Siatka">
    <w:name w:val="Table Grid"/>
    <w:basedOn w:val="Standardowy"/>
    <w:uiPriority w:val="39"/>
    <w:rsid w:val="00385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7">
    <w:name w:val="fontstyle07"/>
    <w:basedOn w:val="Domylnaczcionkaakapitu"/>
    <w:rsid w:val="006660D3"/>
    <w:rPr>
      <w:rFonts w:ascii="DejaVu Sans" w:hAnsi="DejaVu Sans" w:cs="DejaVu Sans" w:hint="default"/>
      <w:color w:val="000000"/>
      <w:sz w:val="22"/>
      <w:szCs w:val="22"/>
    </w:rPr>
  </w:style>
  <w:style w:type="paragraph" w:styleId="Akapitzlist">
    <w:name w:val="List Paragraph"/>
    <w:basedOn w:val="Normalny"/>
    <w:uiPriority w:val="34"/>
    <w:qFormat/>
    <w:rsid w:val="008D5968"/>
    <w:pPr>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paragraph" w:styleId="Nagwek">
    <w:name w:val="header"/>
    <w:basedOn w:val="Normalny"/>
    <w:link w:val="NagwekZnak"/>
    <w:uiPriority w:val="99"/>
    <w:unhideWhenUsed/>
    <w:rsid w:val="00522948"/>
    <w:pPr>
      <w:tabs>
        <w:tab w:val="center" w:pos="4536"/>
        <w:tab w:val="right" w:pos="9072"/>
      </w:tabs>
    </w:pPr>
  </w:style>
  <w:style w:type="character" w:customStyle="1" w:styleId="NagwekZnak">
    <w:name w:val="Nagłówek Znak"/>
    <w:basedOn w:val="Domylnaczcionkaakapitu"/>
    <w:link w:val="Nagwek"/>
    <w:uiPriority w:val="99"/>
    <w:rsid w:val="00522948"/>
    <w:rPr>
      <w:rFonts w:ascii="Times New Roman" w:eastAsia="Times New Roman" w:hAnsi="Times New Roman" w:cs="Times New Roman"/>
      <w:color w:val="00000A"/>
      <w:kern w:val="1"/>
      <w:sz w:val="20"/>
      <w:szCs w:val="20"/>
      <w:lang w:eastAsia="zh-CN"/>
      <w14:ligatures w14:val="none"/>
    </w:rPr>
  </w:style>
  <w:style w:type="paragraph" w:styleId="Stopka">
    <w:name w:val="footer"/>
    <w:basedOn w:val="Normalny"/>
    <w:link w:val="StopkaZnak"/>
    <w:uiPriority w:val="99"/>
    <w:unhideWhenUsed/>
    <w:rsid w:val="00522948"/>
    <w:pPr>
      <w:tabs>
        <w:tab w:val="center" w:pos="4536"/>
        <w:tab w:val="right" w:pos="9072"/>
      </w:tabs>
    </w:pPr>
  </w:style>
  <w:style w:type="character" w:customStyle="1" w:styleId="StopkaZnak">
    <w:name w:val="Stopka Znak"/>
    <w:basedOn w:val="Domylnaczcionkaakapitu"/>
    <w:link w:val="Stopka"/>
    <w:uiPriority w:val="99"/>
    <w:rsid w:val="00522948"/>
    <w:rPr>
      <w:rFonts w:ascii="Times New Roman" w:eastAsia="Times New Roman" w:hAnsi="Times New Roman" w:cs="Times New Roman"/>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11</Pages>
  <Words>3632</Words>
  <Characters>21793</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Rybacki</dc:creator>
  <cp:keywords/>
  <dc:description/>
  <cp:lastModifiedBy>Agnieszka Dopierała</cp:lastModifiedBy>
  <cp:revision>10</cp:revision>
  <dcterms:created xsi:type="dcterms:W3CDTF">2024-07-23T10:48:00Z</dcterms:created>
  <dcterms:modified xsi:type="dcterms:W3CDTF">2024-07-24T09:43:00Z</dcterms:modified>
</cp:coreProperties>
</file>