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9EC3C" w14:textId="37F2D7E3" w:rsidR="00750C85" w:rsidRPr="00750C85" w:rsidRDefault="00750C85" w:rsidP="00750C85">
      <w:pPr>
        <w:pBdr>
          <w:top w:val="nil"/>
          <w:left w:val="nil"/>
          <w:bottom w:val="nil"/>
          <w:right w:val="nil"/>
          <w:between w:val="nil"/>
        </w:pBdr>
        <w:spacing w:after="160"/>
        <w:jc w:val="right"/>
        <w:rPr>
          <w:rFonts w:ascii="Times New Roman" w:eastAsia="Times New Roman" w:hAnsi="Times New Roman" w:cs="Times New Roman"/>
          <w:bCs/>
          <w:color w:val="000000"/>
        </w:rPr>
      </w:pPr>
      <w:r w:rsidRPr="00750C85">
        <w:rPr>
          <w:rFonts w:ascii="Times New Roman" w:eastAsia="Times New Roman" w:hAnsi="Times New Roman" w:cs="Times New Roman"/>
          <w:bCs/>
          <w:color w:val="000000"/>
        </w:rPr>
        <w:t>Załącznik nr 3 do Warunków Zamówienia</w:t>
      </w:r>
    </w:p>
    <w:p w14:paraId="00000001" w14:textId="279A1590" w:rsidR="009E5B61" w:rsidRPr="00D84587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45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Opis przedmiotu zamówienia</w:t>
      </w:r>
    </w:p>
    <w:p w14:paraId="00000002" w14:textId="5A8CD2E3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EA5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 Przedmiotem zamówienia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jest opracowanie kompletnej dokumentacji projektowo- kosztorysowej wraz z uzyskaniem niezbędnych uzgodnień, opinii, pozwoleń </w:t>
      </w:r>
      <w:bookmarkStart w:id="0" w:name="_Hlk167362389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złożeniem wniosku o pozwolenie</w:t>
      </w:r>
      <w:r w:rsidR="00EA5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 budowę</w:t>
      </w:r>
      <w:r w:rsidR="00EA5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A5C0A" w:rsidRPr="00EA5C0A">
        <w:rPr>
          <w:rFonts w:ascii="Times New Roman" w:eastAsia="Times New Roman" w:hAnsi="Times New Roman" w:cs="Times New Roman"/>
          <w:color w:val="000000"/>
          <w:sz w:val="24"/>
          <w:szCs w:val="24"/>
        </w:rPr>
        <w:t>(jeśli wystąpi taka koniczność)</w:t>
      </w:r>
      <w:bookmarkEnd w:id="0"/>
      <w:r w:rsidR="00EA5C0A" w:rsidRPr="00EA5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pełnieniem nadzoru autorskiego w ramach zadania inwestycyjnego pn.: </w:t>
      </w:r>
      <w:r w:rsidRPr="00D84587">
        <w:rPr>
          <w:rFonts w:ascii="Times New Roman" w:eastAsia="Times New Roman" w:hAnsi="Times New Roman" w:cs="Times New Roman"/>
          <w:b/>
          <w:i/>
          <w:iCs/>
          <w:color w:val="000000"/>
          <w:sz w:val="22"/>
          <w:szCs w:val="22"/>
        </w:rPr>
        <w:t>„Wymiana źródeł ciepła w jednostkach organizacyjnych powiatu”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</w:t>
      </w:r>
    </w:p>
    <w:p w14:paraId="00000003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Kod CPV:</w:t>
      </w:r>
    </w:p>
    <w:p w14:paraId="00000004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71.24.00.00-2 - Usługi architektoniczne, inżynieryjne i planowania</w:t>
      </w:r>
    </w:p>
    <w:p w14:paraId="00000005" w14:textId="77777777" w:rsidR="009E5B61" w:rsidRPr="00C152EE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5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przedmiotu zamówienia:</w:t>
      </w:r>
    </w:p>
    <w:p w14:paraId="00000006" w14:textId="36FF4371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Przedmiot zamówienia dotyczy nieruchomości położonych  - zgodnie z Analizą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techniczno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ekologiczną wymiany źródeł ciepła w wybranych jednostkach organizacyjnych powiatu w ramach przygotowania wniosku o dofinansowanie „Ciepłownie, sieci ciepłownicze i efektywność energetyczna budynków komunalnych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regionalne [nabór nr FEKP.02.03-IŻ.00-021/23]</w:t>
      </w:r>
      <w:r w:rsidR="00ED22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zał. Nr 1 do OPZ.</w:t>
      </w:r>
    </w:p>
    <w:p w14:paraId="00000007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Opracowanie powinno obejmować w szczególności:</w:t>
      </w:r>
    </w:p>
    <w:p w14:paraId="00000008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 dokumentację projektową, opracowaną zgodnie z rozporządzeniem Ministra Rozwoju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i Technologii z dnia 20 grudnia 2021 r. w sprawie szczegółowego zakresu i formy dokumentacji projektowej, specyfikacji technicznych wykonania i odbioru robót budowlanych oraz programu funkcjonalno-użytkowego (Dz. U. z 2021 r. poz. 2454), w zakresie Projektu technicznego zgodnie z </w:t>
      </w:r>
      <w:r>
        <w:rPr>
          <w:rFonts w:ascii="Times New Roman" w:eastAsia="Times New Roman" w:hAnsi="Times New Roman" w:cs="Times New Roman"/>
          <w:sz w:val="24"/>
          <w:szCs w:val="24"/>
        </w:rPr>
        <w:t>Rozdziałem 4 Rozporządzenia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wraz z wszelkimi wymaganymi uzgodnieniami, ekspertyzami i uwzględniająca:</w:t>
      </w:r>
    </w:p>
    <w:p w14:paraId="00000009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inwentaryzację i opinie techniczne obiektów – zgodnie z Analizą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techniczno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ekologiczną.</w:t>
      </w:r>
    </w:p>
    <w:p w14:paraId="0000000A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projekty branżowe techniczne – konstrukcyjno-budowlany oraz </w:t>
      </w:r>
      <w:r w:rsidRPr="00192156">
        <w:rPr>
          <w:rFonts w:ascii="Times New Roman" w:eastAsia="Times New Roman" w:hAnsi="Times New Roman" w:cs="Times New Roman"/>
          <w:sz w:val="24"/>
          <w:szCs w:val="24"/>
        </w:rPr>
        <w:t xml:space="preserve">instalacje sanitarne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elektryczne, </w:t>
      </w:r>
    </w:p>
    <w:p w14:paraId="0000000B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 przedmiar robót, kosztorysy inwestorskie (uproszczone), kosztorysy nakładcze z uwzględnieniem wszystkich niezbędnych czynności wynikających z konieczności zabezpieczenia prac oraz innych czynności niewynikających bezpośrednio z dokumentacji technicznej w wyżej wymienionym zakresie,</w:t>
      </w:r>
    </w:p>
    <w:p w14:paraId="0000000C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 informację dotyczącą bezpieczeństwa i ochrony zdrowia, w przypadkach gdy jej opracowanie jest wymagane na podstawie odrębnych przepisów;</w:t>
      </w:r>
    </w:p>
    <w:p w14:paraId="0000000D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 specyfikację techniczną ogólną i szczegółową wykonania i odbioru robót budowlanych objętych przedmiotem zamówienia, opracowaną zgodnie z rozporządzeniem Ministra Rozwoju i Technologii z dnia 20 grudnia 2021 r. w sprawie szczegółowego zakresu i formy dokumentacji projektowej, specyfikacji technicznych wykonania i odbioru robót budowlanych oraz programu funkcjonalno-użytkowego (Dz. U. z 2021r. poz. 2454), uwzględniającą nazwy i kody: grup, klas oraz kategorii robót określonych w rozporządzeniu (WE) nr 213/2008 z dnia 28 listopada 2007 r. w sprawie Wspólnego Słownika Zamówień;</w:t>
      </w:r>
    </w:p>
    <w:p w14:paraId="0000000F" w14:textId="77777777" w:rsidR="009E5B61" w:rsidRPr="0068107C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>II Zakres prac projektowych:</w:t>
      </w:r>
    </w:p>
    <w:p w14:paraId="00000010" w14:textId="78CA062B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Przedmiotem zamówienia jest opracowanie kompletnej dokumentacji projektowo- kosztorysowej wraz z uzyskaniem niezbędnych uzgodnień, opinii, pozwoleń</w:t>
      </w:r>
      <w:r w:rsidR="00C15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52EE" w:rsidRPr="00C152EE">
        <w:rPr>
          <w:rFonts w:ascii="Times New Roman" w:eastAsia="Times New Roman" w:hAnsi="Times New Roman" w:cs="Times New Roman"/>
          <w:color w:val="000000"/>
          <w:sz w:val="24"/>
          <w:szCs w:val="24"/>
        </w:rPr>
        <w:t>i złożeniem wniosku o pozwolenie na budowę (jeśli wystąpi taka koniczność)</w:t>
      </w:r>
      <w:r w:rsidR="00C15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pełnieniem nadzoru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autorskiego w ramach zadania inwestycyjnego pn.: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„Wymiana źródeł ciepła w jednostkach organizacyjnych powiatu”.</w:t>
      </w:r>
    </w:p>
    <w:p w14:paraId="00000011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 Opracowanie dokumentacji projektowo- kosztorysowej, w tym w szczególności:</w:t>
      </w:r>
    </w:p>
    <w:p w14:paraId="00000012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a) pełne uzgodnienie projektu ze wszystkimi stronami procesu projektowego,</w:t>
      </w:r>
    </w:p>
    <w:p w14:paraId="00000013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 opracowanie projektu technicznego dla zadania pn.: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„Wymiana źródeł ciepła w jednostkach organizacyjnych powiatu”.</w:t>
      </w:r>
    </w:p>
    <w:p w14:paraId="00000014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instalacja </w:t>
      </w:r>
      <w:r>
        <w:rPr>
          <w:rFonts w:ascii="Times New Roman" w:eastAsia="Times New Roman" w:hAnsi="Times New Roman" w:cs="Times New Roman"/>
          <w:sz w:val="24"/>
          <w:szCs w:val="24"/>
        </w:rPr>
        <w:t>pomp ciepła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- 5 egzemplarzy</w:t>
      </w:r>
    </w:p>
    <w:p w14:paraId="00000015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instalacja elektryczna (w tym instalacja fotowoltaiczna) i odgromowa - 5 egzemplarzy</w:t>
      </w:r>
    </w:p>
    <w:p w14:paraId="00000016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c) opracowanie informacji dotyczącej Bezpieczeństwa i Ochrony Zdrowia – 5 egzemplarzy,</w:t>
      </w:r>
    </w:p>
    <w:p w14:paraId="00000017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d) opracowanie specyfikacji technicznej wykonania i odbioru robót – 3 egzemplarze,</w:t>
      </w:r>
    </w:p>
    <w:p w14:paraId="00000018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e) wykonanie przedmiarów robót – 3 egzemplarze,</w:t>
      </w:r>
    </w:p>
    <w:p w14:paraId="00000019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f) wykonanie kosztorysów inwestorskich – 3 egzemplarze,</w:t>
      </w:r>
    </w:p>
    <w:p w14:paraId="0000001A" w14:textId="5E595A64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wykonanie jednokrotnej aktualizacji przedmiarów robót oraz kosztorysu inwestorskiego przed wszczęciem postępowania na pisemne wezwanie Zamawiającego w terminie </w:t>
      </w:r>
      <w:r w:rsidR="00C15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 dni od daty wezwania,</w:t>
      </w:r>
    </w:p>
    <w:p w14:paraId="0000001B" w14:textId="2B56EB79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 dostarczenie Zamawiającemu kompletnej dokumentacji, o której mowa w pkt. II)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ppkt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2) w wersji papierowej we wskazanej liczbie egzemplarzy oraz w wersji elektronicznej, zgodnej z Rozporządzeniem Rady Ministrów z dnia</w:t>
      </w:r>
      <w:r w:rsidR="00C15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21 maja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C152EE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w sprawie Krajowych Ram Interoperacyjności, minimalnych wymagań dla rejestrów publicznych i wymiany informacji</w:t>
      </w:r>
      <w:r w:rsidR="00C15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postaci elektronicznej oraz minimalnych wymagań dla systemów teleinformacyjnych (Dz. U. z 20</w:t>
      </w:r>
      <w:r w:rsidR="00C152EE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C152EE">
        <w:rPr>
          <w:rFonts w:ascii="Times New Roman" w:eastAsia="Times New Roman" w:hAnsi="Times New Roman" w:cs="Times New Roman"/>
          <w:color w:val="000000"/>
          <w:sz w:val="24"/>
          <w:szCs w:val="24"/>
        </w:rPr>
        <w:t>773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edytowalnej (np. format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dwg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xml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zuz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oraz nieedytowalnej   w formacie „.pdf”, tożsamej z dostarczoną wersją papierową,</w:t>
      </w:r>
    </w:p>
    <w:p w14:paraId="0000001C" w14:textId="5FB5578B" w:rsidR="009E5B61" w:rsidRDefault="00C152EE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80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 uczestniczenie w postępowaniu (lub w postępowaniach) o udzielenie zamówienia publicznego mającym na celu wyłonienie wykonawcy </w:t>
      </w:r>
      <w:r w:rsidR="005809DD" w:rsidRPr="002D56A4">
        <w:rPr>
          <w:rFonts w:ascii="Times New Roman" w:eastAsia="Times New Roman" w:hAnsi="Times New Roman" w:cs="Times New Roman"/>
          <w:sz w:val="24"/>
          <w:szCs w:val="24"/>
        </w:rPr>
        <w:t xml:space="preserve">robót budowlanych </w:t>
      </w:r>
      <w:r w:rsidR="005809DD">
        <w:rPr>
          <w:rFonts w:ascii="Times New Roman" w:eastAsia="Times New Roman" w:hAnsi="Times New Roman" w:cs="Times New Roman"/>
          <w:color w:val="000000"/>
          <w:sz w:val="24"/>
          <w:szCs w:val="24"/>
        </w:rPr>
        <w:t>realizowanych na podstawie dokumentacji stanowiącej przedmiot zamówienia na pytania wykonawców dotyczące dokumentacji stanowiącej przedmiot zamówienia, poprzez udzielanie odpowiedzi niezwłocznie, jednak w terminie nie dłuższym niż maksymalnie w ciągu jednego dnia roboczego od momentu otrzymania od Zamawiającego drogą elektroniczną,</w:t>
      </w:r>
    </w:p>
    <w:p w14:paraId="0000001D" w14:textId="669AF058" w:rsidR="009E5B61" w:rsidRDefault="0068107C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580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w przypadku dopuszczenia przez zamawiającego, w trakcie procedury udzielania zamówienia na </w:t>
      </w:r>
      <w:r w:rsidR="005809DD" w:rsidRPr="002D56A4">
        <w:rPr>
          <w:rFonts w:ascii="Times New Roman" w:eastAsia="Times New Roman" w:hAnsi="Times New Roman" w:cs="Times New Roman"/>
          <w:sz w:val="24"/>
          <w:szCs w:val="24"/>
        </w:rPr>
        <w:t xml:space="preserve">roboty budowlane </w:t>
      </w:r>
      <w:r w:rsidR="005809DD">
        <w:rPr>
          <w:rFonts w:ascii="Times New Roman" w:eastAsia="Times New Roman" w:hAnsi="Times New Roman" w:cs="Times New Roman"/>
          <w:color w:val="000000"/>
          <w:sz w:val="24"/>
          <w:szCs w:val="24"/>
        </w:rPr>
        <w:t>zastosowania materiałów i urządzeń o parametrach nie gorszych niż przedstawione w dokumentacji projektowej – sprawdzać parametry tych materiałów i urządzeń,</w:t>
      </w:r>
    </w:p>
    <w:p w14:paraId="0000001E" w14:textId="5AFDFF9D" w:rsidR="009E5B61" w:rsidRDefault="0068107C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5809DD">
        <w:rPr>
          <w:rFonts w:ascii="Times New Roman" w:eastAsia="Times New Roman" w:hAnsi="Times New Roman" w:cs="Times New Roman"/>
          <w:color w:val="000000"/>
          <w:sz w:val="24"/>
          <w:szCs w:val="24"/>
        </w:rPr>
        <w:t>) wyjaśniania wątpliwości powstałych w toku realizacji, robót związanych z dokumentacją projektową,</w:t>
      </w:r>
    </w:p>
    <w:p w14:paraId="0000001F" w14:textId="162D105A" w:rsidR="009E5B61" w:rsidRDefault="0068107C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5809DD">
        <w:rPr>
          <w:rFonts w:ascii="Times New Roman" w:eastAsia="Times New Roman" w:hAnsi="Times New Roman" w:cs="Times New Roman"/>
          <w:color w:val="000000"/>
          <w:sz w:val="24"/>
          <w:szCs w:val="24"/>
        </w:rPr>
        <w:t>)  pełnienie nadzoru autorskiego nad realizacją robót w zakresie wskazanym w przedmiocie zamówienia (udział w naradach technicznych). Przyjmuje się, że liczba pobytów projektanta (projektantów) na budowie wynikać będzie z uzasadnionych potrzeb określonych każdorazowo przez zamawiającego lub występującego w jego imieniu inspektora nadzoru,</w:t>
      </w:r>
    </w:p>
    <w:p w14:paraId="00000020" w14:textId="7483CE2E" w:rsidR="009E5B61" w:rsidRDefault="0068107C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5809DD">
        <w:rPr>
          <w:rFonts w:ascii="Times New Roman" w:eastAsia="Times New Roman" w:hAnsi="Times New Roman" w:cs="Times New Roman"/>
          <w:color w:val="000000"/>
          <w:sz w:val="24"/>
          <w:szCs w:val="24"/>
        </w:rPr>
        <w:t>) przekazanie Zamawiającemu majątkowych praw autorskich do sporządzonej dokumentacji projektowej oraz wszelkich opracowań sporządzonych w ramach przedmiotu zamówienia, a także prawa własności egzemplarzy.</w:t>
      </w:r>
    </w:p>
    <w:p w14:paraId="00000022" w14:textId="1F341FA6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III. Wykonawca wykonując przedmiot zamówienia zobowiązany jest uwzględnić następujące warunki szczegółowe: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zastosowanie rozwiązań standardowych skutkujących optymalizacją kosztów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3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IV. Wykonawca zobowiązany jest do wykonywania przedmiotu zamówienia zgodnie z obowiązującymi przepisami prawa i normami branżowymi, z należytą starannością wynikającą z wykonywania zawodu oraz według najlepszej woli i wiedzy, a także z poszanowaniem interesów Zamawiającego.</w:t>
      </w:r>
    </w:p>
    <w:p w14:paraId="00000024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V. Dokumentacja projektowa winna być opracowana, między innymi zgodnie z:</w:t>
      </w:r>
    </w:p>
    <w:p w14:paraId="00000025" w14:textId="0FB29DDA" w:rsidR="009E5B61" w:rsidRDefault="005809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ustawą dnia z 7 lipca 1994 r. Prawo Budowlane (Dz. U. 202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poz. 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725 </w:t>
      </w:r>
      <w:proofErr w:type="spellStart"/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>t.j</w:t>
      </w:r>
      <w:proofErr w:type="spellEnd"/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00000026" w14:textId="77777777" w:rsidR="009E5B61" w:rsidRDefault="005809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Rozporządzeniem Ministra Rozwoju i Technologii z dnia 20 grudnia 2021 r. w sprawie szczegółowego zakresu i formy dokumentacji projektowej, specyfikacji technicznych wykonania i odbioru robót budowlanych oraz programu funkcjonalno-użytkowego (Dz. U. z 2021 r. poz. 2454);</w:t>
      </w:r>
    </w:p>
    <w:p w14:paraId="00000027" w14:textId="77777777" w:rsidR="009E5B61" w:rsidRDefault="005809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Rozporządzeniem Ministra Rozwoju i Technologii z dnia 20 grudnia 2021 r. w sprawie określenia metod i podstaw sporządzania kosztorysu inwestorskiego, obliczania planowanych kosztów prac projektowych oraz planowanych kosztów robót budowlanych określonych w programie funkcjonalno-użytkowym (Dz. U. z 2021 r., poz. 2458);  </w:t>
      </w:r>
    </w:p>
    <w:p w14:paraId="00000028" w14:textId="77777777" w:rsidR="009E5B61" w:rsidRDefault="005809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Zasadami Rządowego Programu Odbudowy Zabytków ustanowionego przez Radę Ministrów – Uchwała Nr 232/2022 z dnia 23 listopada 2022r.</w:t>
      </w:r>
    </w:p>
    <w:p w14:paraId="00000029" w14:textId="123A24CB" w:rsidR="009E5B61" w:rsidRDefault="005809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ustawą z dnia 11 września 2019 r. Prawo zamówień publicznych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t.j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Dz. U z 202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>1605 ze zm.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w związku z tym, że zlecona dokumentacja stanowić będzie opis przedmiotu zamówienia do przeprowadzenia postępowania o udzielenie zamówienia na wykonanie </w:t>
      </w:r>
      <w:r w:rsidRPr="002D56A4">
        <w:rPr>
          <w:rFonts w:ascii="Times New Roman" w:eastAsia="Times New Roman" w:hAnsi="Times New Roman" w:cs="Times New Roman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 szczególności:</w:t>
      </w:r>
    </w:p>
    <w:p w14:paraId="0000002A" w14:textId="49690584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przedmiotu zamówienia nie można opisywać w sposób, który mógłby utrudniać uczciwą konkurencję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szczególności przez wskazanie znaków towarowych, patentów lub pochodzenia, źródła lub szczególnego procesu, który charakteryzuje produkty lub usługi dostarczane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przez</w:t>
      </w:r>
      <w:r w:rsidR="00681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konkretnego wykonawcę, jeżeli mogłoby to doprowadzić do uprzywilejowania lub wyeliminowania niektórych wykonawców lub produktów, a jeżeli przedmiot zamówienia zostanie opisany w ten sposób, wykonawca wskazuje w opisie przedmiotu zamówienia kryteria stosowane w celu oceny równoważności,</w:t>
      </w:r>
    </w:p>
    <w:p w14:paraId="0000002B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opis przedmiotu zamówienia sporządza się, z uwzględnieniem wymagań w zakresie dostępności dla osób niepełnosprawnych oraz projektowania z przeznaczeniem dla wszystkich użytkowników, chyba że nie jest to uzasadnione charakterem przedmiotu zamówienia.</w:t>
      </w:r>
    </w:p>
    <w:p w14:paraId="0000002D" w14:textId="77777777" w:rsidR="009E5B61" w:rsidRDefault="005809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wszystkimi innymi obowiązującymi przepisami i normami nie wymienionymi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 niniejszym dokumencie a niezbędnymi do zrealizowania przedmiotu zamówienia.</w:t>
      </w:r>
    </w:p>
    <w:p w14:paraId="0000002E" w14:textId="77777777" w:rsidR="009E5B61" w:rsidRDefault="009E5B61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F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Uwaga:</w:t>
      </w:r>
    </w:p>
    <w:p w14:paraId="00000030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Wykonawca zobowiązany jest do pozyskania we własnym zakresie i na własny koszt wszystkich niezbędnych danych wyjściowych do projektowania, w tym np.: map, inwentaryzacji, oraz uzyskania wszystkich niezbędnych opinii i uzgodnień rzeczoznawcy w szczególności związanych z wymaganiami </w:t>
      </w:r>
      <w:r w:rsidRPr="00192156">
        <w:rPr>
          <w:rFonts w:ascii="Times New Roman" w:eastAsia="Times New Roman" w:hAnsi="Times New Roman" w:cs="Times New Roman"/>
          <w:sz w:val="24"/>
          <w:szCs w:val="24"/>
        </w:rPr>
        <w:t>sanitarno-higienicznymi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ochroną przeciw-pożarową, oraz innymi instytucjami w zakresie niezbędnym do wykonania zamówienia.</w:t>
      </w:r>
    </w:p>
    <w:p w14:paraId="00000031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Przedłożona oferta musi uwzględniać uczestnictwo Oferenta w procesie wyłaniania Wykonawcy robót , oraz nadzór autorski do zakończenia inwestycji.</w:t>
      </w:r>
    </w:p>
    <w:p w14:paraId="00000032" w14:textId="77777777" w:rsidR="009E5B61" w:rsidRDefault="005809DD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Przekazanie i odbiór dokumentacji projektowej odbędzie się na podstawie protokołu zdawczo-odbiorczego i oświadczenia projektanta o kompletności projektu oraz o tym, że projekt został wykonany zgodnie z umową, obowiązującymi przepisami, normami i jest kompletny z punktu widzenia celu, któremu ma służyć. Do projektu należy dołączyć oświadczenie projektanta, że wszystkie uwagi wniesione na etapie opracowania projektów zostały w nim uwzględnione. Wszelkie opłaty za pozyskane decyzje, uzgodnienia i opinie ponosi Wykonawca.</w:t>
      </w:r>
    </w:p>
    <w:p w14:paraId="00000033" w14:textId="77777777" w:rsidR="009E5B61" w:rsidRDefault="009E5B61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FA678E" w14:textId="77777777" w:rsidR="0036085E" w:rsidRPr="0036085E" w:rsidRDefault="0036085E" w:rsidP="0036085E">
      <w:pPr>
        <w:suppressAutoHyphens/>
        <w:autoSpaceDN w:val="0"/>
        <w:spacing w:after="160"/>
        <w:ind w:firstLine="708"/>
        <w:jc w:val="both"/>
        <w:textAlignment w:val="baseline"/>
        <w:rPr>
          <w:rFonts w:cs="Times New Roman"/>
          <w:sz w:val="22"/>
          <w:szCs w:val="22"/>
          <w:lang w:eastAsia="en-US"/>
        </w:rPr>
      </w:pPr>
      <w:r w:rsidRPr="0036085E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Zamawiający zastrzega sobie prawo korekty/zmiany na każdym etapie prac projektowych w zakresie rozwiązań </w:t>
      </w:r>
      <w:proofErr w:type="spellStart"/>
      <w:r w:rsidRPr="0036085E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techniczno</w:t>
      </w:r>
      <w:proofErr w:type="spellEnd"/>
      <w:r w:rsidRPr="0036085E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 – funkcjonalnych.</w:t>
      </w:r>
    </w:p>
    <w:p w14:paraId="00000034" w14:textId="2829EC21" w:rsidR="009E5B61" w:rsidRDefault="009E5B61" w:rsidP="00D84587">
      <w:pPr>
        <w:pBdr>
          <w:top w:val="nil"/>
          <w:left w:val="nil"/>
          <w:bottom w:val="nil"/>
          <w:right w:val="nil"/>
          <w:between w:val="nil"/>
        </w:pBdr>
        <w:spacing w:after="160"/>
        <w:ind w:firstLine="284"/>
        <w:jc w:val="both"/>
        <w:rPr>
          <w:color w:val="000000"/>
          <w:sz w:val="22"/>
          <w:szCs w:val="22"/>
        </w:rPr>
      </w:pPr>
    </w:p>
    <w:sectPr w:rsidR="009E5B61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B1B4D" w14:textId="77777777" w:rsidR="006B5DB9" w:rsidRDefault="006B5DB9">
      <w:r>
        <w:separator/>
      </w:r>
    </w:p>
  </w:endnote>
  <w:endnote w:type="continuationSeparator" w:id="0">
    <w:p w14:paraId="3039982F" w14:textId="77777777" w:rsidR="006B5DB9" w:rsidRDefault="006B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5" w14:textId="6979C79F" w:rsidR="009E5B61" w:rsidRDefault="005809D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Strona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 w:rsidR="00ED224F">
      <w:rPr>
        <w:b/>
        <w:noProof/>
        <w:color w:val="000000"/>
        <w:sz w:val="22"/>
        <w:szCs w:val="22"/>
      </w:rPr>
      <w:t>1</w:t>
    </w:r>
    <w:r>
      <w:rPr>
        <w:b/>
        <w:color w:val="000000"/>
        <w:sz w:val="22"/>
        <w:szCs w:val="22"/>
      </w:rPr>
      <w:fldChar w:fldCharType="end"/>
    </w:r>
    <w:r>
      <w:rPr>
        <w:color w:val="000000"/>
        <w:sz w:val="22"/>
        <w:szCs w:val="22"/>
      </w:rPr>
      <w:t xml:space="preserve"> z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NUMPAGES</w:instrText>
    </w:r>
    <w:r>
      <w:rPr>
        <w:b/>
        <w:color w:val="000000"/>
        <w:sz w:val="22"/>
        <w:szCs w:val="22"/>
      </w:rPr>
      <w:fldChar w:fldCharType="separate"/>
    </w:r>
    <w:r w:rsidR="00ED224F">
      <w:rPr>
        <w:b/>
        <w:noProof/>
        <w:color w:val="000000"/>
        <w:sz w:val="22"/>
        <w:szCs w:val="22"/>
      </w:rPr>
      <w:t>2</w:t>
    </w:r>
    <w:r>
      <w:rPr>
        <w:b/>
        <w:color w:val="000000"/>
        <w:sz w:val="22"/>
        <w:szCs w:val="22"/>
      </w:rPr>
      <w:fldChar w:fldCharType="end"/>
    </w:r>
  </w:p>
  <w:p w14:paraId="00000036" w14:textId="77777777" w:rsidR="009E5B61" w:rsidRDefault="009E5B61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59BA8" w14:textId="77777777" w:rsidR="006B5DB9" w:rsidRDefault="006B5DB9">
      <w:r>
        <w:separator/>
      </w:r>
    </w:p>
  </w:footnote>
  <w:footnote w:type="continuationSeparator" w:id="0">
    <w:p w14:paraId="6A7AB716" w14:textId="77777777" w:rsidR="006B5DB9" w:rsidRDefault="006B5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206255"/>
    <w:multiLevelType w:val="multilevel"/>
    <w:tmpl w:val="6748A5D4"/>
    <w:lvl w:ilvl="0"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051225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61"/>
    <w:rsid w:val="000E0879"/>
    <w:rsid w:val="00192156"/>
    <w:rsid w:val="002D56A4"/>
    <w:rsid w:val="00310CF1"/>
    <w:rsid w:val="00332A19"/>
    <w:rsid w:val="0036085E"/>
    <w:rsid w:val="003A1CC5"/>
    <w:rsid w:val="00571E67"/>
    <w:rsid w:val="005809DD"/>
    <w:rsid w:val="006703D1"/>
    <w:rsid w:val="0068107C"/>
    <w:rsid w:val="006B5DB9"/>
    <w:rsid w:val="00750C85"/>
    <w:rsid w:val="007E06B9"/>
    <w:rsid w:val="009E5B61"/>
    <w:rsid w:val="00A2770B"/>
    <w:rsid w:val="00AD1248"/>
    <w:rsid w:val="00C152EE"/>
    <w:rsid w:val="00CB5CB1"/>
    <w:rsid w:val="00D84587"/>
    <w:rsid w:val="00E86468"/>
    <w:rsid w:val="00EA5C0A"/>
    <w:rsid w:val="00ED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C50"/>
  <w15:docId w15:val="{343ED110-4178-429A-9E07-7779C38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50C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C85"/>
  </w:style>
  <w:style w:type="paragraph" w:styleId="Stopka">
    <w:name w:val="footer"/>
    <w:basedOn w:val="Normalny"/>
    <w:link w:val="StopkaZnak"/>
    <w:uiPriority w:val="99"/>
    <w:unhideWhenUsed/>
    <w:rsid w:val="00750C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1380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Kosmalski</dc:creator>
  <cp:lastModifiedBy>Ewelina Olbrycht</cp:lastModifiedBy>
  <cp:revision>7</cp:revision>
  <dcterms:created xsi:type="dcterms:W3CDTF">2024-05-23T09:19:00Z</dcterms:created>
  <dcterms:modified xsi:type="dcterms:W3CDTF">2024-05-29T12:26:00Z</dcterms:modified>
</cp:coreProperties>
</file>